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3990" w14:textId="72FE76FC" w:rsidR="00D25EAE" w:rsidRPr="00D25EAE" w:rsidRDefault="00F65232" w:rsidP="00D25EA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212529"/>
          <w:sz w:val="22"/>
          <w:szCs w:val="22"/>
          <w14:ligatures w14:val="standardContextual"/>
        </w:rPr>
      </w:pPr>
      <w:r w:rsidRPr="005F2DA1">
        <w:rPr>
          <w:rFonts w:ascii="SegoeUI-Bold" w:eastAsiaTheme="minorHAnsi" w:hAnsi="SegoeUI-Bold" w:cs="SegoeUI-Bold"/>
          <w:b/>
          <w:bCs/>
          <w:noProof/>
          <w:color w:val="212529"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838B9DF" wp14:editId="14EB5CC9">
            <wp:simplePos x="0" y="0"/>
            <wp:positionH relativeFrom="column">
              <wp:posOffset>5440680</wp:posOffset>
            </wp:positionH>
            <wp:positionV relativeFrom="paragraph">
              <wp:posOffset>0</wp:posOffset>
            </wp:positionV>
            <wp:extent cx="1152525" cy="1134110"/>
            <wp:effectExtent l="0" t="0" r="9525" b="8890"/>
            <wp:wrapSquare wrapText="bothSides"/>
            <wp:docPr id="8754113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5EAE" w:rsidRPr="00D25EAE">
        <w:rPr>
          <w:rFonts w:ascii="Segoe UI" w:eastAsiaTheme="minorHAnsi" w:hAnsi="Segoe UI" w:cs="Segoe UI"/>
          <w:b/>
          <w:bCs/>
          <w:color w:val="212529"/>
          <w:sz w:val="22"/>
          <w:szCs w:val="22"/>
          <w14:ligatures w14:val="standardContextual"/>
        </w:rPr>
        <w:t>Time</w:t>
      </w:r>
      <w:r w:rsidR="00D25EAE" w:rsidRPr="00D25EAE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>: 8:00 AM</w:t>
      </w:r>
      <w:r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ab/>
      </w:r>
      <w:r w:rsidR="003F7754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 xml:space="preserve"> Continental Breakfast and a light lunch will be included </w:t>
      </w:r>
      <w:r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ab/>
      </w:r>
      <w:r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ab/>
      </w:r>
    </w:p>
    <w:p w14:paraId="58B5ECD4" w14:textId="23DD411C" w:rsidR="00D25EAE" w:rsidRPr="00D25EAE" w:rsidRDefault="00D25EAE" w:rsidP="00D25EAE">
      <w:pPr>
        <w:autoSpaceDE w:val="0"/>
        <w:autoSpaceDN w:val="0"/>
        <w:adjustRightInd w:val="0"/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</w:pPr>
      <w:r w:rsidRPr="00D25EAE">
        <w:rPr>
          <w:rFonts w:ascii="Segoe UI" w:eastAsiaTheme="minorHAnsi" w:hAnsi="Segoe UI" w:cs="Segoe UI"/>
          <w:b/>
          <w:bCs/>
          <w:color w:val="212529"/>
          <w:sz w:val="22"/>
          <w:szCs w:val="22"/>
          <w14:ligatures w14:val="standardContextual"/>
        </w:rPr>
        <w:t>Location</w:t>
      </w:r>
      <w:r w:rsidRPr="00D25EAE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>: Mercy St. Vincent's Medical Center Auditorium</w:t>
      </w:r>
      <w:r w:rsidR="00815D5E"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 xml:space="preserve">- located at </w:t>
      </w:r>
      <w:r w:rsidR="00815D5E" w:rsidRPr="005F2DA1">
        <w:rPr>
          <w:rFonts w:ascii="Segoe UI" w:eastAsiaTheme="minorHAnsi" w:hAnsi="Segoe UI" w:cs="Segoe UI"/>
          <w:b/>
          <w:bCs/>
          <w:color w:val="212529"/>
          <w:sz w:val="22"/>
          <w:szCs w:val="22"/>
          <w14:ligatures w14:val="standardContextual"/>
        </w:rPr>
        <w:t>main entrance</w:t>
      </w:r>
      <w:r w:rsidR="00815D5E"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 xml:space="preserve"> </w:t>
      </w:r>
      <w:r w:rsid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>of the</w:t>
      </w:r>
      <w:r w:rsidR="00815D5E"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 xml:space="preserve"> hospital</w:t>
      </w:r>
      <w:r w:rsid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 xml:space="preserve">.  </w:t>
      </w:r>
    </w:p>
    <w:p w14:paraId="24790EC4" w14:textId="4B43172F" w:rsidR="00D25EAE" w:rsidRPr="005F2DA1" w:rsidRDefault="00F65232" w:rsidP="00D25EAE">
      <w:pPr>
        <w:autoSpaceDE w:val="0"/>
        <w:autoSpaceDN w:val="0"/>
        <w:adjustRightInd w:val="0"/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</w:pPr>
      <w:r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>2213 Cherry Street, Toledo, OH 43608</w:t>
      </w:r>
    </w:p>
    <w:p w14:paraId="2BD01F94" w14:textId="77777777" w:rsidR="005F2DA1" w:rsidRPr="00D25EAE" w:rsidRDefault="005F2DA1" w:rsidP="005F2DA1">
      <w:pPr>
        <w:autoSpaceDE w:val="0"/>
        <w:autoSpaceDN w:val="0"/>
        <w:adjustRightInd w:val="0"/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</w:pPr>
      <w:r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 xml:space="preserve">Parking available in both parking garages.  Please use visitor or patient parking spaces only. </w:t>
      </w:r>
    </w:p>
    <w:p w14:paraId="2BCD5DFF" w14:textId="77777777" w:rsidR="00F65232" w:rsidRPr="00D25EAE" w:rsidRDefault="00F65232" w:rsidP="00D25EAE">
      <w:pPr>
        <w:autoSpaceDE w:val="0"/>
        <w:autoSpaceDN w:val="0"/>
        <w:adjustRightInd w:val="0"/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</w:pPr>
    </w:p>
    <w:p w14:paraId="6B3B00BC" w14:textId="4508AF42" w:rsidR="00D25EAE" w:rsidRPr="005F2DA1" w:rsidRDefault="00D25EAE" w:rsidP="00D25EAE">
      <w:pPr>
        <w:autoSpaceDE w:val="0"/>
        <w:autoSpaceDN w:val="0"/>
        <w:adjustRightInd w:val="0"/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</w:pPr>
      <w:r w:rsidRPr="00D25EAE">
        <w:rPr>
          <w:rFonts w:ascii="Segoe UI" w:eastAsiaTheme="minorHAnsi" w:hAnsi="Segoe UI" w:cs="Segoe UI"/>
          <w:b/>
          <w:bCs/>
          <w:color w:val="212529"/>
          <w:sz w:val="22"/>
          <w:szCs w:val="22"/>
          <w14:ligatures w14:val="standardContextual"/>
        </w:rPr>
        <w:t>Follow this link to Register</w:t>
      </w:r>
      <w:r w:rsidRPr="005F2DA1">
        <w:rPr>
          <w:rFonts w:ascii="Segoe UI" w:eastAsiaTheme="minorHAnsi" w:hAnsi="Segoe UI" w:cs="Segoe UI"/>
          <w:b/>
          <w:bCs/>
          <w:color w:val="212529"/>
          <w:sz w:val="22"/>
          <w:szCs w:val="22"/>
          <w14:ligatures w14:val="standardContextual"/>
        </w:rPr>
        <w:t xml:space="preserve"> or use QR Code</w:t>
      </w:r>
      <w:r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 xml:space="preserve"> </w:t>
      </w:r>
      <w:hyperlink r:id="rId8" w:history="1">
        <w:r w:rsidR="00CA22BC" w:rsidRPr="005F2DA1">
          <w:rPr>
            <w:rStyle w:val="Hyperlink"/>
            <w:rFonts w:ascii="Segoe UI" w:eastAsiaTheme="minorHAnsi" w:hAnsi="Segoe UI" w:cs="Segoe UI"/>
            <w:b/>
            <w:bCs/>
            <w:sz w:val="22"/>
            <w:szCs w:val="22"/>
            <w14:ligatures w14:val="standardContextual"/>
          </w:rPr>
          <w:t>https://www.eeds.com/portal_recurring_event.aspx?ConferenceID=482176</w:t>
        </w:r>
      </w:hyperlink>
    </w:p>
    <w:p w14:paraId="46AC19E5" w14:textId="77777777" w:rsidR="00854163" w:rsidRPr="005F2DA1" w:rsidRDefault="00854163" w:rsidP="00D46DFE">
      <w:pPr>
        <w:autoSpaceDE w:val="0"/>
        <w:autoSpaceDN w:val="0"/>
        <w:adjustRightInd w:val="0"/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</w:pPr>
    </w:p>
    <w:p w14:paraId="0A41C925" w14:textId="77777777" w:rsidR="00854163" w:rsidRDefault="00854163" w:rsidP="00854163">
      <w:pPr>
        <w:autoSpaceDE w:val="0"/>
        <w:autoSpaceDN w:val="0"/>
        <w:adjustRightInd w:val="0"/>
        <w:rPr>
          <w:rFonts w:ascii="Segoe UI" w:eastAsiaTheme="minorHAnsi" w:hAnsi="Segoe UI" w:cs="Segoe UI"/>
          <w:b/>
          <w:bCs/>
          <w:color w:val="212529"/>
          <w:sz w:val="22"/>
          <w:szCs w:val="22"/>
          <w14:ligatures w14:val="standardContextual"/>
        </w:rPr>
      </w:pPr>
      <w:r w:rsidRPr="005F2DA1">
        <w:rPr>
          <w:rFonts w:ascii="Segoe UI" w:eastAsiaTheme="minorHAnsi" w:hAnsi="Segoe UI" w:cs="Segoe UI"/>
          <w:b/>
          <w:bCs/>
          <w:color w:val="212529"/>
          <w:sz w:val="22"/>
          <w:szCs w:val="22"/>
          <w14:ligatures w14:val="standardContextual"/>
        </w:rPr>
        <w:t>Credits Offered:</w:t>
      </w:r>
    </w:p>
    <w:p w14:paraId="18CE4EEF" w14:textId="7F5E2AB5" w:rsidR="00854163" w:rsidRPr="005F2DA1" w:rsidRDefault="00854163" w:rsidP="000C5E73">
      <w:pPr>
        <w:autoSpaceDE w:val="0"/>
        <w:autoSpaceDN w:val="0"/>
        <w:adjustRightInd w:val="0"/>
        <w:ind w:firstLine="720"/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</w:pPr>
      <w:r w:rsidRPr="000C5E73">
        <w:rPr>
          <w:rFonts w:ascii="Segoe UI" w:eastAsiaTheme="minorHAnsi" w:hAnsi="Segoe UI" w:cs="Segoe UI"/>
          <w:b/>
          <w:bCs/>
          <w:i/>
          <w:iCs/>
          <w:color w:val="212529"/>
          <w:sz w:val="22"/>
          <w:szCs w:val="22"/>
          <w14:ligatures w14:val="standardContextual"/>
        </w:rPr>
        <w:t>AMA PRA Category 1 Credit</w:t>
      </w:r>
      <w:r w:rsidRPr="005F2DA1">
        <w:rPr>
          <w:rFonts w:ascii="Segoe UI" w:eastAsiaTheme="minorHAnsi" w:hAnsi="Segoe UI" w:cs="Segoe UI"/>
          <w:b/>
          <w:bCs/>
          <w:color w:val="212529"/>
          <w:sz w:val="22"/>
          <w:szCs w:val="22"/>
          <w14:ligatures w14:val="standardContextual"/>
        </w:rPr>
        <w:t>™</w:t>
      </w:r>
      <w:r w:rsidR="005E5DCA"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 xml:space="preserve">: </w:t>
      </w:r>
      <w:r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>4.00 Credits</w:t>
      </w:r>
      <w:r w:rsidR="00815D5E"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ab/>
      </w:r>
      <w:r w:rsidR="00815D5E"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ab/>
      </w:r>
      <w:r w:rsidR="00815D5E"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ab/>
      </w:r>
      <w:r w:rsidR="00815D5E"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ab/>
      </w:r>
    </w:p>
    <w:p w14:paraId="3DB6ED08" w14:textId="0495C2A0" w:rsidR="00854163" w:rsidRPr="005F2DA1" w:rsidRDefault="00854163" w:rsidP="000C5E73">
      <w:pPr>
        <w:autoSpaceDE w:val="0"/>
        <w:autoSpaceDN w:val="0"/>
        <w:adjustRightInd w:val="0"/>
        <w:ind w:firstLine="720"/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</w:pPr>
      <w:r w:rsidRPr="005F2DA1">
        <w:rPr>
          <w:rFonts w:ascii="Segoe UI" w:eastAsiaTheme="minorHAnsi" w:hAnsi="Segoe UI" w:cs="Segoe UI"/>
          <w:b/>
          <w:bCs/>
          <w:color w:val="212529"/>
          <w:sz w:val="22"/>
          <w:szCs w:val="22"/>
          <w14:ligatures w14:val="standardContextual"/>
        </w:rPr>
        <w:t>Attendance w/ No Credit:</w:t>
      </w:r>
      <w:r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 xml:space="preserve"> 4.00 Hour(s)</w:t>
      </w:r>
    </w:p>
    <w:p w14:paraId="2DB02D51" w14:textId="50DD2006" w:rsidR="00854163" w:rsidRPr="005F2DA1" w:rsidRDefault="00854163" w:rsidP="000C5E73">
      <w:pPr>
        <w:autoSpaceDE w:val="0"/>
        <w:autoSpaceDN w:val="0"/>
        <w:adjustRightInd w:val="0"/>
        <w:ind w:firstLine="720"/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</w:pPr>
      <w:bookmarkStart w:id="0" w:name="_Hlk195730715"/>
      <w:r w:rsidRPr="005F2DA1">
        <w:rPr>
          <w:rFonts w:ascii="Segoe UI" w:eastAsiaTheme="minorHAnsi" w:hAnsi="Segoe UI" w:cs="Segoe UI"/>
          <w:b/>
          <w:bCs/>
          <w:color w:val="212529"/>
          <w:sz w:val="22"/>
          <w:szCs w:val="22"/>
          <w14:ligatures w14:val="standardContextual"/>
        </w:rPr>
        <w:t>Social Work:</w:t>
      </w:r>
      <w:r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 xml:space="preserve"> 4.00 Hour(s)</w:t>
      </w:r>
    </w:p>
    <w:p w14:paraId="5AC734FF" w14:textId="18841581" w:rsidR="00854163" w:rsidRPr="005F2DA1" w:rsidRDefault="00854163" w:rsidP="000C5E73">
      <w:pPr>
        <w:autoSpaceDE w:val="0"/>
        <w:autoSpaceDN w:val="0"/>
        <w:adjustRightInd w:val="0"/>
        <w:ind w:firstLine="720"/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</w:pPr>
      <w:r w:rsidRPr="005F2DA1">
        <w:rPr>
          <w:rFonts w:ascii="Segoe UI" w:eastAsiaTheme="minorHAnsi" w:hAnsi="Segoe UI" w:cs="Segoe UI"/>
          <w:b/>
          <w:bCs/>
          <w:color w:val="212529"/>
          <w:sz w:val="22"/>
          <w:szCs w:val="22"/>
          <w14:ligatures w14:val="standardContextual"/>
        </w:rPr>
        <w:t>IPCE:</w:t>
      </w:r>
      <w:r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 xml:space="preserve"> 4.00 Credit(s)</w:t>
      </w:r>
    </w:p>
    <w:bookmarkEnd w:id="0"/>
    <w:p w14:paraId="6D1DFF28" w14:textId="064B546A" w:rsidR="00854163" w:rsidRPr="005F2DA1" w:rsidRDefault="00854163" w:rsidP="000C5E73">
      <w:pPr>
        <w:autoSpaceDE w:val="0"/>
        <w:autoSpaceDN w:val="0"/>
        <w:adjustRightInd w:val="0"/>
        <w:ind w:firstLine="720"/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</w:pPr>
      <w:r w:rsidRPr="005F2DA1">
        <w:rPr>
          <w:rFonts w:ascii="Segoe UI" w:eastAsiaTheme="minorHAnsi" w:hAnsi="Segoe UI" w:cs="Segoe UI"/>
          <w:b/>
          <w:bCs/>
          <w:color w:val="212529"/>
          <w:sz w:val="22"/>
          <w:szCs w:val="22"/>
          <w14:ligatures w14:val="standardContextual"/>
        </w:rPr>
        <w:t>NCPD (ANCC Contact Hours)</w:t>
      </w:r>
      <w:r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>: 4.00 Hour(s)</w:t>
      </w:r>
      <w:r w:rsidR="00D46DFE"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ab/>
      </w:r>
    </w:p>
    <w:p w14:paraId="2D0E1DA3" w14:textId="0C9938A0" w:rsidR="00D46DFE" w:rsidRPr="001001D8" w:rsidRDefault="00D46DFE" w:rsidP="00854163">
      <w:pPr>
        <w:autoSpaceDE w:val="0"/>
        <w:autoSpaceDN w:val="0"/>
        <w:adjustRightInd w:val="0"/>
        <w:rPr>
          <w:rFonts w:ascii="Segoe UI" w:eastAsiaTheme="minorHAnsi" w:hAnsi="Segoe UI" w:cs="Segoe UI"/>
          <w:color w:val="212529"/>
          <w:sz w:val="20"/>
          <w:szCs w:val="20"/>
          <w14:ligatures w14:val="standardContextual"/>
        </w:rPr>
      </w:pPr>
      <w:r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ab/>
      </w:r>
      <w:r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ab/>
      </w:r>
      <w:r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ab/>
      </w:r>
      <w:r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ab/>
      </w:r>
      <w:r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ab/>
      </w:r>
      <w:r w:rsidRPr="005F2DA1">
        <w:rPr>
          <w:rFonts w:ascii="Segoe UI" w:eastAsiaTheme="minorHAnsi" w:hAnsi="Segoe UI" w:cs="Segoe UI"/>
          <w:color w:val="212529"/>
          <w:sz w:val="22"/>
          <w:szCs w:val="22"/>
          <w14:ligatures w14:val="standardContextual"/>
        </w:rPr>
        <w:tab/>
      </w:r>
      <w:r w:rsidRPr="001001D8">
        <w:rPr>
          <w:rFonts w:ascii="Segoe UI" w:eastAsiaTheme="minorHAnsi" w:hAnsi="Segoe UI" w:cs="Segoe UI"/>
          <w:color w:val="212529"/>
          <w:sz w:val="20"/>
          <w:szCs w:val="20"/>
          <w14:ligatures w14:val="standardContextual"/>
        </w:rPr>
        <w:tab/>
      </w:r>
    </w:p>
    <w:p w14:paraId="21F61987" w14:textId="3388DEE1" w:rsidR="00D7039B" w:rsidRPr="005F2DA1" w:rsidRDefault="00D7039B" w:rsidP="00D7039B">
      <w:pPr>
        <w:pStyle w:val="NoSpacing"/>
        <w:jc w:val="both"/>
        <w:rPr>
          <w:rFonts w:ascii="Segoe UI" w:hAnsi="Segoe UI" w:cs="Segoe UI"/>
          <w:b/>
          <w:bCs/>
        </w:rPr>
      </w:pPr>
      <w:r w:rsidRPr="005F2DA1">
        <w:rPr>
          <w:rFonts w:ascii="Segoe UI" w:hAnsi="Segoe UI" w:cs="Segoe UI"/>
          <w:b/>
          <w:bCs/>
        </w:rPr>
        <w:t>Conference Objectives:</w:t>
      </w:r>
    </w:p>
    <w:p w14:paraId="6CB300B7" w14:textId="77777777" w:rsidR="00815D5E" w:rsidRPr="005F2DA1" w:rsidRDefault="00815D5E" w:rsidP="00D7039B">
      <w:pPr>
        <w:pStyle w:val="NoSpacing"/>
        <w:jc w:val="both"/>
        <w:rPr>
          <w:rFonts w:ascii="Segoe UI" w:hAnsi="Segoe UI" w:cs="Segoe UI"/>
          <w:b/>
          <w:bCs/>
        </w:rPr>
      </w:pPr>
    </w:p>
    <w:p w14:paraId="5B6D333D" w14:textId="4605039B" w:rsidR="00D7039B" w:rsidRPr="005F2DA1" w:rsidRDefault="00D7039B" w:rsidP="00CF3974">
      <w:pPr>
        <w:pStyle w:val="NoSpacing"/>
        <w:numPr>
          <w:ilvl w:val="0"/>
          <w:numId w:val="5"/>
        </w:numPr>
        <w:jc w:val="both"/>
        <w:rPr>
          <w:rFonts w:ascii="Segoe UI" w:hAnsi="Segoe UI" w:cs="Segoe UI"/>
        </w:rPr>
      </w:pPr>
      <w:r w:rsidRPr="005F2DA1">
        <w:rPr>
          <w:rFonts w:ascii="Segoe UI" w:hAnsi="Segoe UI" w:cs="Segoe UI"/>
        </w:rPr>
        <w:t>Identify the complex challenges and barriers faced by victims of trauma, including domestic violence, strangulation, and youth victimization, in navigating legal and</w:t>
      </w:r>
      <w:r w:rsidR="00CF3974" w:rsidRPr="005F2DA1">
        <w:rPr>
          <w:rFonts w:ascii="Segoe UI" w:hAnsi="Segoe UI" w:cs="Segoe UI"/>
        </w:rPr>
        <w:t xml:space="preserve"> recovery systems.</w:t>
      </w:r>
    </w:p>
    <w:p w14:paraId="296A2AF3" w14:textId="399B4332" w:rsidR="00D7039B" w:rsidRPr="005F2DA1" w:rsidRDefault="00D7039B" w:rsidP="00CF3974">
      <w:pPr>
        <w:pStyle w:val="NoSpacing"/>
        <w:numPr>
          <w:ilvl w:val="0"/>
          <w:numId w:val="5"/>
        </w:numPr>
        <w:jc w:val="both"/>
        <w:rPr>
          <w:rFonts w:ascii="Segoe UI" w:hAnsi="Segoe UI" w:cs="Segoe UI"/>
        </w:rPr>
      </w:pPr>
      <w:r w:rsidRPr="005F2DA1">
        <w:rPr>
          <w:rFonts w:ascii="Segoe UI" w:hAnsi="Segoe UI" w:cs="Segoe UI"/>
        </w:rPr>
        <w:t>Examine the personal and professional toll of trauma work on healthcare, legal, and advocacy professionals, and discuss strategies for sustainable engagement and</w:t>
      </w:r>
      <w:r w:rsidR="00CF3974" w:rsidRPr="005F2DA1">
        <w:rPr>
          <w:rFonts w:ascii="Segoe UI" w:hAnsi="Segoe UI" w:cs="Segoe UI"/>
        </w:rPr>
        <w:t xml:space="preserve"> resilience.</w:t>
      </w:r>
    </w:p>
    <w:p w14:paraId="68FE80DF" w14:textId="0319D568" w:rsidR="00D7039B" w:rsidRPr="005F2DA1" w:rsidRDefault="00D7039B" w:rsidP="00D7039B">
      <w:pPr>
        <w:pStyle w:val="NoSpacing"/>
        <w:numPr>
          <w:ilvl w:val="0"/>
          <w:numId w:val="5"/>
        </w:numPr>
        <w:jc w:val="both"/>
        <w:rPr>
          <w:rFonts w:ascii="Segoe UI" w:hAnsi="Segoe UI" w:cs="Segoe UI"/>
        </w:rPr>
      </w:pPr>
      <w:r w:rsidRPr="005F2DA1">
        <w:rPr>
          <w:rFonts w:ascii="Segoe UI" w:hAnsi="Segoe UI" w:cs="Segoe UI"/>
        </w:rPr>
        <w:t xml:space="preserve">Differentiate between trauma-informed and trauma-responsive </w:t>
      </w:r>
      <w:r w:rsidR="00F65232" w:rsidRPr="005F2DA1">
        <w:rPr>
          <w:rFonts w:ascii="Segoe UI" w:hAnsi="Segoe UI" w:cs="Segoe UI"/>
        </w:rPr>
        <w:t>approaches and</w:t>
      </w:r>
      <w:r w:rsidRPr="005F2DA1">
        <w:rPr>
          <w:rFonts w:ascii="Segoe UI" w:hAnsi="Segoe UI" w:cs="Segoe UI"/>
        </w:rPr>
        <w:t xml:space="preserve"> apply these principles to improve outcomes for trauma survivors across age groups.</w:t>
      </w:r>
    </w:p>
    <w:p w14:paraId="071CF10C" w14:textId="53570D7A" w:rsidR="00D7039B" w:rsidRPr="005F2DA1" w:rsidRDefault="00D7039B" w:rsidP="003377DC">
      <w:pPr>
        <w:pStyle w:val="NoSpacing"/>
        <w:numPr>
          <w:ilvl w:val="0"/>
          <w:numId w:val="5"/>
        </w:numPr>
        <w:jc w:val="both"/>
        <w:rPr>
          <w:rFonts w:ascii="Segoe UI" w:hAnsi="Segoe UI" w:cs="Segoe UI"/>
        </w:rPr>
      </w:pPr>
      <w:r w:rsidRPr="005F2DA1">
        <w:rPr>
          <w:rFonts w:ascii="Segoe UI" w:hAnsi="Segoe UI" w:cs="Segoe UI"/>
        </w:rPr>
        <w:t>Recognize the value of collaboration among trauma teams, recovery centers, legal professionals, and</w:t>
      </w:r>
      <w:r w:rsidR="003377DC" w:rsidRPr="005F2DA1">
        <w:rPr>
          <w:rFonts w:ascii="Segoe UI" w:hAnsi="Segoe UI" w:cs="Segoe UI"/>
        </w:rPr>
        <w:t xml:space="preserve"> </w:t>
      </w:r>
      <w:r w:rsidRPr="005F2DA1">
        <w:rPr>
          <w:rFonts w:ascii="Segoe UI" w:hAnsi="Segoe UI" w:cs="Segoe UI"/>
        </w:rPr>
        <w:t>victim advocates to provide comprehensive, long-term, and</w:t>
      </w:r>
      <w:r w:rsidR="003377DC" w:rsidRPr="005F2DA1">
        <w:rPr>
          <w:rFonts w:ascii="Segoe UI" w:hAnsi="Segoe UI" w:cs="Segoe UI"/>
        </w:rPr>
        <w:t xml:space="preserve"> effective care.</w:t>
      </w:r>
    </w:p>
    <w:p w14:paraId="4ECE4F6F" w14:textId="77777777" w:rsidR="00D46DFE" w:rsidRPr="005F2DA1" w:rsidRDefault="00D46DFE" w:rsidP="00D7039B">
      <w:pPr>
        <w:pStyle w:val="NoSpacing"/>
        <w:ind w:firstLine="720"/>
        <w:jc w:val="both"/>
        <w:rPr>
          <w:rFonts w:ascii="Segoe UI" w:hAnsi="Segoe UI" w:cs="Segoe UI"/>
        </w:rPr>
      </w:pPr>
    </w:p>
    <w:p w14:paraId="1328327C" w14:textId="73E98C63" w:rsidR="00D7039B" w:rsidRPr="005F2DA1" w:rsidRDefault="00F65232" w:rsidP="00EB4766">
      <w:pPr>
        <w:pStyle w:val="NoSpacing"/>
        <w:jc w:val="both"/>
        <w:rPr>
          <w:rFonts w:ascii="Segoe UI" w:hAnsi="Segoe UI" w:cs="Segoe UI"/>
          <w:b/>
          <w:bCs/>
        </w:rPr>
      </w:pPr>
      <w:r w:rsidRPr="005F2DA1">
        <w:rPr>
          <w:rFonts w:ascii="Segoe UI" w:hAnsi="Segoe UI" w:cs="Segoe UI"/>
          <w:b/>
          <w:bCs/>
        </w:rPr>
        <w:t>Speaker Information:</w:t>
      </w:r>
    </w:p>
    <w:p w14:paraId="574E296D" w14:textId="4346EE13" w:rsidR="00EB4766" w:rsidRPr="005F2DA1" w:rsidRDefault="00EB4766" w:rsidP="00256087">
      <w:pPr>
        <w:pStyle w:val="NoSpacing"/>
        <w:jc w:val="both"/>
        <w:rPr>
          <w:rFonts w:ascii="Segoe UI" w:hAnsi="Segoe UI" w:cs="Segoe UI"/>
          <w:i/>
          <w:iCs/>
        </w:rPr>
      </w:pPr>
      <w:r w:rsidRPr="005F2DA1">
        <w:rPr>
          <w:rFonts w:ascii="Segoe UI" w:hAnsi="Segoe UI" w:cs="Segoe UI"/>
        </w:rPr>
        <w:t>Rose M. Mock, Juris Doctor, Lucas County Prosecuting Attorney</w:t>
      </w:r>
    </w:p>
    <w:p w14:paraId="20CC55CC" w14:textId="33F1EF54" w:rsidR="005E515E" w:rsidRPr="00256087" w:rsidRDefault="00256087" w:rsidP="00256087">
      <w:pPr>
        <w:pStyle w:val="ListParagraph"/>
        <w:numPr>
          <w:ilvl w:val="0"/>
          <w:numId w:val="8"/>
        </w:numPr>
        <w:rPr>
          <w:rFonts w:ascii="Segoe UI" w:eastAsia="Times New Roman" w:hAnsi="Segoe UI" w:cs="Segoe UI"/>
          <w:i/>
          <w:iCs/>
          <w:color w:val="000000"/>
          <w:sz w:val="22"/>
          <w:szCs w:val="22"/>
        </w:rPr>
      </w:pPr>
      <w:r w:rsidRPr="00256087">
        <w:rPr>
          <w:rFonts w:ascii="Segoe UI" w:eastAsia="Times New Roman" w:hAnsi="Segoe UI" w:cs="Segoe UI"/>
          <w:i/>
          <w:iCs/>
          <w:color w:val="000000"/>
          <w:sz w:val="22"/>
          <w:szCs w:val="22"/>
        </w:rPr>
        <w:t>A Case Study- Obstacles in Prosecution - Domestic Violence and Strangulation</w:t>
      </w:r>
    </w:p>
    <w:p w14:paraId="7E7C6496" w14:textId="77777777" w:rsidR="00256087" w:rsidRDefault="00256087" w:rsidP="00256087">
      <w:pPr>
        <w:rPr>
          <w:rFonts w:ascii="Segoe UI" w:eastAsia="Times New Roman" w:hAnsi="Segoe UI" w:cs="Segoe UI"/>
          <w:color w:val="000000"/>
          <w:sz w:val="22"/>
          <w:szCs w:val="22"/>
        </w:rPr>
      </w:pPr>
    </w:p>
    <w:p w14:paraId="7EBE9D09" w14:textId="77777777" w:rsidR="005A191A" w:rsidRPr="005A191A" w:rsidRDefault="00EB4766" w:rsidP="005A191A">
      <w:pPr>
        <w:rPr>
          <w:rFonts w:ascii="Segoe UI" w:hAnsi="Segoe UI" w:cs="Segoe UI"/>
          <w:color w:val="212529"/>
          <w:sz w:val="22"/>
          <w:szCs w:val="22"/>
          <w:shd w:val="clear" w:color="auto" w:fill="FFFFFF"/>
        </w:rPr>
      </w:pPr>
      <w:r w:rsidRPr="00256087">
        <w:rPr>
          <w:rFonts w:ascii="Segoe UI" w:eastAsia="Times New Roman" w:hAnsi="Segoe UI" w:cs="Segoe UI"/>
          <w:color w:val="000000"/>
          <w:sz w:val="22"/>
          <w:szCs w:val="22"/>
        </w:rPr>
        <w:t xml:space="preserve">Dr. John J. Leskovan, DO, FACS, FACOS </w:t>
      </w:r>
      <w:r w:rsidR="00B25F58" w:rsidRPr="00256087">
        <w:rPr>
          <w:rFonts w:ascii="Segoe UI" w:eastAsia="Times New Roman" w:hAnsi="Segoe UI" w:cs="Segoe UI"/>
          <w:color w:val="000000"/>
          <w:sz w:val="22"/>
          <w:szCs w:val="22"/>
        </w:rPr>
        <w:t>-</w:t>
      </w:r>
      <w:r w:rsidR="00B25F58" w:rsidRPr="00256087">
        <w:rPr>
          <w:rFonts w:ascii="Segoe UI" w:hAnsi="Segoe UI" w:cs="Segoe UI"/>
          <w:color w:val="212529"/>
          <w:sz w:val="22"/>
          <w:szCs w:val="22"/>
          <w:shd w:val="clear" w:color="auto" w:fill="FFFFFF"/>
        </w:rPr>
        <w:t xml:space="preserve"> </w:t>
      </w:r>
      <w:r w:rsidR="005A191A" w:rsidRPr="005A191A">
        <w:rPr>
          <w:rFonts w:ascii="Segoe UI" w:hAnsi="Segoe UI" w:cs="Segoe UI"/>
          <w:color w:val="212529"/>
          <w:sz w:val="22"/>
          <w:szCs w:val="22"/>
          <w:shd w:val="clear" w:color="auto" w:fill="FFFFFF"/>
        </w:rPr>
        <w:t>Chief of Staff, Mercy Health St. Vincent Medical Center</w:t>
      </w:r>
    </w:p>
    <w:p w14:paraId="5CEB48FD" w14:textId="495BEA7A" w:rsidR="005A191A" w:rsidRPr="005A191A" w:rsidRDefault="005A191A" w:rsidP="005A191A">
      <w:pPr>
        <w:rPr>
          <w:rFonts w:ascii="Segoe UI" w:hAnsi="Segoe UI" w:cs="Segoe UI"/>
          <w:color w:val="212529"/>
          <w:sz w:val="22"/>
          <w:szCs w:val="22"/>
          <w:shd w:val="clear" w:color="auto" w:fill="FFFFFF"/>
        </w:rPr>
      </w:pPr>
      <w:r w:rsidRPr="005A191A">
        <w:rPr>
          <w:rFonts w:ascii="Segoe UI" w:hAnsi="Segoe UI" w:cs="Segoe UI"/>
          <w:color w:val="212529"/>
          <w:sz w:val="22"/>
          <w:szCs w:val="22"/>
          <w:shd w:val="clear" w:color="auto" w:fill="FFFFFF"/>
        </w:rPr>
        <w:t>Medical Director of Trauma and Surgical Critical Care</w:t>
      </w:r>
    </w:p>
    <w:p w14:paraId="2792985B" w14:textId="7C835F7B" w:rsidR="00EB4766" w:rsidRPr="00256087" w:rsidRDefault="00EB4766" w:rsidP="00256087">
      <w:pPr>
        <w:rPr>
          <w:rFonts w:ascii="Segoe UI" w:eastAsiaTheme="minorHAnsi" w:hAnsi="Segoe UI" w:cs="Segoe UI"/>
          <w:sz w:val="22"/>
          <w:szCs w:val="22"/>
        </w:rPr>
      </w:pPr>
      <w:r w:rsidRPr="00256087">
        <w:rPr>
          <w:rFonts w:ascii="Segoe UI" w:eastAsiaTheme="minorHAnsi" w:hAnsi="Segoe UI" w:cs="Segoe UI"/>
          <w:sz w:val="22"/>
          <w:szCs w:val="22"/>
        </w:rPr>
        <w:t>Nicole Knepper, RN, BSN</w:t>
      </w:r>
      <w:r w:rsidR="00B25F58" w:rsidRPr="00256087">
        <w:rPr>
          <w:rFonts w:ascii="Segoe UI" w:eastAsiaTheme="minorHAnsi" w:hAnsi="Segoe UI" w:cs="Segoe UI"/>
          <w:sz w:val="22"/>
          <w:szCs w:val="22"/>
        </w:rPr>
        <w:t>, Trauma Program Manager, Mercy St. Vincent Medical Center</w:t>
      </w:r>
    </w:p>
    <w:p w14:paraId="51787156" w14:textId="40AC8D1E" w:rsidR="00EB4766" w:rsidRPr="00256087" w:rsidRDefault="00256087" w:rsidP="00256087">
      <w:pPr>
        <w:pStyle w:val="NoSpacing"/>
        <w:numPr>
          <w:ilvl w:val="0"/>
          <w:numId w:val="8"/>
        </w:numPr>
        <w:rPr>
          <w:rFonts w:ascii="Segoe UI" w:hAnsi="Segoe UI" w:cs="Segoe UI"/>
          <w:i/>
          <w:iCs/>
        </w:rPr>
      </w:pPr>
      <w:bookmarkStart w:id="1" w:name="_Hlk194586781"/>
      <w:bookmarkEnd w:id="1"/>
      <w:r w:rsidRPr="00256087">
        <w:rPr>
          <w:rFonts w:ascii="Segoe UI" w:hAnsi="Segoe UI" w:cs="Segoe UI"/>
          <w:i/>
          <w:iCs/>
        </w:rPr>
        <w:t>Challenges Faced by Trauma Patients and Trauma Professionals and the Importance of Collaboration in Providing Effective, Holistic Care</w:t>
      </w:r>
    </w:p>
    <w:p w14:paraId="645969C8" w14:textId="77777777" w:rsidR="00256087" w:rsidRDefault="00256087" w:rsidP="00256087">
      <w:pPr>
        <w:pStyle w:val="NoSpacing"/>
        <w:rPr>
          <w:rFonts w:ascii="Segoe UI" w:hAnsi="Segoe UI" w:cs="Segoe UI"/>
        </w:rPr>
      </w:pPr>
    </w:p>
    <w:p w14:paraId="14A0C417" w14:textId="2FBC42BF" w:rsidR="00EB4766" w:rsidRPr="005F2DA1" w:rsidRDefault="00EB4766" w:rsidP="00256087">
      <w:pPr>
        <w:pStyle w:val="NoSpacing"/>
        <w:rPr>
          <w:rFonts w:ascii="Segoe UI" w:hAnsi="Segoe UI" w:cs="Segoe UI"/>
          <w:i/>
          <w:iCs/>
        </w:rPr>
      </w:pPr>
      <w:r w:rsidRPr="005F2DA1">
        <w:rPr>
          <w:rFonts w:ascii="Segoe UI" w:hAnsi="Segoe UI" w:cs="Segoe UI"/>
        </w:rPr>
        <w:t>Magistrate Carmille Akande, Juris Doctor</w:t>
      </w:r>
      <w:r w:rsidR="00DF0F75" w:rsidRPr="005F2DA1">
        <w:rPr>
          <w:rFonts w:ascii="Segoe UI" w:hAnsi="Segoe UI" w:cs="Segoe UI"/>
        </w:rPr>
        <w:t>, Lucas County Juvenile Court</w:t>
      </w:r>
    </w:p>
    <w:p w14:paraId="75EEA11B" w14:textId="20F54665" w:rsidR="00EB4766" w:rsidRPr="005F2DA1" w:rsidRDefault="00256087" w:rsidP="00256087">
      <w:pPr>
        <w:pStyle w:val="NoSpacing"/>
        <w:numPr>
          <w:ilvl w:val="0"/>
          <w:numId w:val="8"/>
        </w:numPr>
        <w:rPr>
          <w:rFonts w:ascii="Segoe UI" w:hAnsi="Segoe UI" w:cs="Segoe UI"/>
          <w:i/>
          <w:iCs/>
        </w:rPr>
      </w:pPr>
      <w:r w:rsidRPr="00256087">
        <w:rPr>
          <w:rFonts w:ascii="Segoe UI" w:hAnsi="Segoe UI" w:cs="Segoe UI"/>
          <w:i/>
          <w:iCs/>
        </w:rPr>
        <w:t>Why we are in this Work- a Review, Barriers in Working with Young Victims and Trauma Informed vs Trauma Responsive Approaches</w:t>
      </w:r>
      <w:r w:rsidRPr="00256087">
        <w:rPr>
          <w:rFonts w:ascii="Segoe UI" w:hAnsi="Segoe UI" w:cs="Segoe UI"/>
          <w:i/>
          <w:iCs/>
        </w:rPr>
        <w:tab/>
      </w:r>
    </w:p>
    <w:p w14:paraId="4718E191" w14:textId="77777777" w:rsidR="00256087" w:rsidRDefault="00256087" w:rsidP="00256087">
      <w:pPr>
        <w:pStyle w:val="NoSpacing"/>
        <w:rPr>
          <w:rFonts w:ascii="Segoe UI" w:hAnsi="Segoe UI" w:cs="Segoe UI"/>
        </w:rPr>
      </w:pPr>
    </w:p>
    <w:p w14:paraId="330F95F5" w14:textId="7C9A50C0" w:rsidR="00EB4766" w:rsidRPr="005F2DA1" w:rsidRDefault="00EB4766" w:rsidP="00256087">
      <w:pPr>
        <w:pStyle w:val="NoSpacing"/>
        <w:rPr>
          <w:rFonts w:ascii="Segoe UI" w:hAnsi="Segoe UI" w:cs="Segoe UI"/>
        </w:rPr>
      </w:pPr>
      <w:r w:rsidRPr="005F2DA1">
        <w:rPr>
          <w:rFonts w:ascii="Segoe UI" w:hAnsi="Segoe UI" w:cs="Segoe UI"/>
        </w:rPr>
        <w:t>OraLee Macklenar, MSW, LISW-S, LCDC III, CEAP</w:t>
      </w:r>
      <w:r w:rsidR="00DF0F75" w:rsidRPr="005F2DA1">
        <w:rPr>
          <w:rFonts w:ascii="Segoe UI" w:hAnsi="Segoe UI" w:cs="Segoe UI"/>
        </w:rPr>
        <w:t xml:space="preserve">- Program </w:t>
      </w:r>
      <w:r w:rsidR="00CA22BC" w:rsidRPr="005F2DA1">
        <w:rPr>
          <w:rFonts w:ascii="Segoe UI" w:hAnsi="Segoe UI" w:cs="Segoe UI"/>
        </w:rPr>
        <w:t>Manager, Mercy</w:t>
      </w:r>
      <w:r w:rsidR="00DF0F75" w:rsidRPr="005F2DA1">
        <w:rPr>
          <w:rFonts w:ascii="Segoe UI" w:hAnsi="Segoe UI" w:cs="Segoe UI"/>
        </w:rPr>
        <w:t xml:space="preserve"> Health Trauma Recovery Center</w:t>
      </w:r>
    </w:p>
    <w:p w14:paraId="77F8B908" w14:textId="1F5BA1AC" w:rsidR="00EB4766" w:rsidRPr="005F2DA1" w:rsidRDefault="00EB4766" w:rsidP="00256087">
      <w:pPr>
        <w:pStyle w:val="NoSpacing"/>
        <w:rPr>
          <w:rFonts w:ascii="Segoe UI" w:hAnsi="Segoe UI" w:cs="Segoe UI"/>
        </w:rPr>
      </w:pPr>
      <w:r w:rsidRPr="005F2DA1">
        <w:rPr>
          <w:rFonts w:ascii="Segoe UI" w:hAnsi="Segoe UI" w:cs="Segoe UI"/>
        </w:rPr>
        <w:t>KaZonte Allen, MSW, LSW</w:t>
      </w:r>
      <w:r w:rsidR="00DF0F75" w:rsidRPr="005F2DA1">
        <w:rPr>
          <w:rFonts w:ascii="Segoe UI" w:hAnsi="Segoe UI" w:cs="Segoe UI"/>
        </w:rPr>
        <w:t xml:space="preserve">, </w:t>
      </w:r>
      <w:r w:rsidR="00CA22BC" w:rsidRPr="005F2DA1">
        <w:rPr>
          <w:rFonts w:ascii="Segoe UI" w:hAnsi="Segoe UI" w:cs="Segoe UI"/>
        </w:rPr>
        <w:t>Therapist, Mercy</w:t>
      </w:r>
      <w:r w:rsidR="00DF0F75" w:rsidRPr="005F2DA1">
        <w:rPr>
          <w:rFonts w:ascii="Segoe UI" w:hAnsi="Segoe UI" w:cs="Segoe UI"/>
        </w:rPr>
        <w:t xml:space="preserve"> Trauma Recovery Center</w:t>
      </w:r>
    </w:p>
    <w:p w14:paraId="1BDF70BA" w14:textId="24CD5722" w:rsidR="00EB4766" w:rsidRPr="005F2DA1" w:rsidRDefault="00EB4766" w:rsidP="00256087">
      <w:pPr>
        <w:pStyle w:val="NoSpacing"/>
        <w:rPr>
          <w:rFonts w:ascii="Segoe UI" w:hAnsi="Segoe UI" w:cs="Segoe UI"/>
          <w:i/>
          <w:iCs/>
        </w:rPr>
      </w:pPr>
      <w:r w:rsidRPr="005F2DA1">
        <w:rPr>
          <w:rFonts w:ascii="Segoe UI" w:hAnsi="Segoe UI" w:cs="Segoe UI"/>
        </w:rPr>
        <w:t>Sonya Newton, B.A, Victim Advocate, Mental Health First Aid Responder</w:t>
      </w:r>
      <w:r w:rsidR="00DF0F75" w:rsidRPr="005F2DA1">
        <w:rPr>
          <w:rFonts w:ascii="Segoe UI" w:hAnsi="Segoe UI" w:cs="Segoe UI"/>
        </w:rPr>
        <w:t>, Mercy Trauma Recovery Center</w:t>
      </w:r>
    </w:p>
    <w:p w14:paraId="2E90CFE5" w14:textId="77777777" w:rsidR="00256087" w:rsidRPr="00256087" w:rsidRDefault="00256087" w:rsidP="00256087">
      <w:pPr>
        <w:pStyle w:val="ListParagraph"/>
        <w:numPr>
          <w:ilvl w:val="0"/>
          <w:numId w:val="8"/>
        </w:numPr>
        <w:rPr>
          <w:rFonts w:ascii="Segoe UI" w:eastAsiaTheme="minorHAnsi" w:hAnsi="Segoe UI" w:cs="Segoe UI"/>
          <w:i/>
          <w:iCs/>
          <w:color w:val="212529"/>
          <w:sz w:val="22"/>
          <w:szCs w:val="22"/>
          <w14:ligatures w14:val="standardContextual"/>
        </w:rPr>
      </w:pPr>
      <w:r w:rsidRPr="00256087">
        <w:rPr>
          <w:rFonts w:ascii="Segoe UI" w:eastAsiaTheme="minorHAnsi" w:hAnsi="Segoe UI" w:cs="Segoe UI"/>
          <w:i/>
          <w:iCs/>
          <w:color w:val="212529"/>
          <w:sz w:val="22"/>
          <w:szCs w:val="22"/>
          <w14:ligatures w14:val="standardContextual"/>
        </w:rPr>
        <w:t xml:space="preserve">A Review of What Works!  </w:t>
      </w:r>
    </w:p>
    <w:p w14:paraId="7796CC86" w14:textId="77777777" w:rsidR="00CE150F" w:rsidRDefault="00CE150F" w:rsidP="00D46DFE">
      <w:pPr>
        <w:autoSpaceDE w:val="0"/>
        <w:autoSpaceDN w:val="0"/>
        <w:adjustRightInd w:val="0"/>
        <w:rPr>
          <w:rFonts w:ascii="SegoeUI-Bold" w:eastAsiaTheme="minorHAnsi" w:hAnsi="SegoeUI-Bold" w:cs="SegoeUI-Bold"/>
          <w:b/>
          <w:bCs/>
          <w:color w:val="212529"/>
          <w:sz w:val="16"/>
          <w:szCs w:val="16"/>
          <w14:ligatures w14:val="standardContextual"/>
        </w:rPr>
      </w:pPr>
    </w:p>
    <w:p w14:paraId="65A3414D" w14:textId="3E846155" w:rsidR="00CE150F" w:rsidRDefault="00D46DFE" w:rsidP="00D46DFE">
      <w:pPr>
        <w:autoSpaceDE w:val="0"/>
        <w:autoSpaceDN w:val="0"/>
        <w:adjustRightInd w:val="0"/>
        <w:rPr>
          <w:rFonts w:ascii="SegoeUI-Bold" w:eastAsiaTheme="minorHAnsi" w:hAnsi="SegoeUI-Bold" w:cs="SegoeUI-Bold"/>
          <w:b/>
          <w:bCs/>
          <w:color w:val="212529"/>
          <w:sz w:val="16"/>
          <w:szCs w:val="16"/>
          <w14:ligatures w14:val="standardContextual"/>
        </w:rPr>
      </w:pPr>
      <w:r w:rsidRPr="005F2DA1">
        <w:rPr>
          <w:rFonts w:ascii="SegoeUI-Bold" w:eastAsiaTheme="minorHAnsi" w:hAnsi="SegoeUI-Bold" w:cs="SegoeUI-Bold"/>
          <w:b/>
          <w:bCs/>
          <w:color w:val="212529"/>
          <w:sz w:val="16"/>
          <w:szCs w:val="16"/>
          <w14:ligatures w14:val="standardContextual"/>
        </w:rPr>
        <w:t>Accreditation Statement:</w:t>
      </w:r>
    </w:p>
    <w:p w14:paraId="653B505B" w14:textId="32D05D4D" w:rsidR="00CE150F" w:rsidRDefault="00CE150F" w:rsidP="00D46DFE">
      <w:pPr>
        <w:autoSpaceDE w:val="0"/>
        <w:autoSpaceDN w:val="0"/>
        <w:adjustRightInd w:val="0"/>
        <w:rPr>
          <w:rFonts w:ascii="SegoeUI-Bold" w:eastAsiaTheme="minorHAnsi" w:hAnsi="SegoeUI-Bold" w:cs="SegoeUI-Bold"/>
          <w:b/>
          <w:bCs/>
          <w:color w:val="212529"/>
          <w:sz w:val="16"/>
          <w:szCs w:val="16"/>
          <w14:ligatures w14:val="standardContextual"/>
        </w:rPr>
      </w:pPr>
      <w:r w:rsidRPr="00CE150F">
        <w:rPr>
          <w:rFonts w:ascii="SegoeUI-Bold" w:eastAsiaTheme="minorHAnsi" w:hAnsi="SegoeUI-Bold" w:cs="SegoeUI-Bold"/>
          <w:b/>
          <w:bCs/>
          <w:noProof/>
          <w:color w:val="212529"/>
          <w:sz w:val="16"/>
          <w:szCs w:val="16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C811A45" wp14:editId="3E7145ED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075134" cy="640080"/>
            <wp:effectExtent l="0" t="0" r="0" b="7620"/>
            <wp:wrapSquare wrapText="bothSides"/>
            <wp:docPr id="677868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134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E3222E" w14:textId="77777777" w:rsidR="00CE150F" w:rsidRDefault="00CE150F" w:rsidP="00D46DFE">
      <w:pPr>
        <w:autoSpaceDE w:val="0"/>
        <w:autoSpaceDN w:val="0"/>
        <w:adjustRightInd w:val="0"/>
        <w:rPr>
          <w:rFonts w:ascii="SegoeUI-Bold" w:eastAsiaTheme="minorHAnsi" w:hAnsi="SegoeUI-Bold" w:cs="SegoeUI-Bold"/>
          <w:b/>
          <w:bCs/>
          <w:color w:val="212529"/>
          <w:sz w:val="16"/>
          <w:szCs w:val="16"/>
          <w14:ligatures w14:val="standardContextual"/>
        </w:rPr>
      </w:pPr>
    </w:p>
    <w:p w14:paraId="194F6777" w14:textId="2F86A134" w:rsidR="00D46DFE" w:rsidRPr="005F2DA1" w:rsidRDefault="001001D8" w:rsidP="00D46DFE">
      <w:p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</w:pPr>
      <w:r w:rsidRPr="005F2DA1">
        <w:rPr>
          <w:rFonts w:ascii="SegoeUI-Bold" w:eastAsiaTheme="minorHAnsi" w:hAnsi="SegoeUI-Bold" w:cs="SegoeUI-Bold"/>
          <w:b/>
          <w:bCs/>
          <w:color w:val="212529"/>
          <w:sz w:val="16"/>
          <w:szCs w:val="16"/>
          <w14:ligatures w14:val="standardContextual"/>
        </w:rPr>
        <w:t xml:space="preserve"> </w:t>
      </w:r>
      <w:r w:rsidR="00D46DFE"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In support of improving patient care, Bon Secours Mercy Health Center for Continuing Education is jointly accredited by the</w:t>
      </w:r>
    </w:p>
    <w:p w14:paraId="16411068" w14:textId="77777777" w:rsidR="00D46DFE" w:rsidRPr="005F2DA1" w:rsidRDefault="00D46DFE" w:rsidP="00D46DFE">
      <w:p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</w:pP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Accreditation Council for Continuing Medical Education (ACCME), the Accreditation Council for Pharmacy Education (ACPE),</w:t>
      </w:r>
    </w:p>
    <w:p w14:paraId="591F26E5" w14:textId="77777777" w:rsidR="00D46DFE" w:rsidRPr="005F2DA1" w:rsidRDefault="00D46DFE" w:rsidP="00D46DFE">
      <w:p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</w:pP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and the American Nurses Credentialing Center (ANCC), to provide continuing education for the healthcare team.</w:t>
      </w:r>
    </w:p>
    <w:p w14:paraId="56B18C99" w14:textId="77777777" w:rsidR="00815D5E" w:rsidRDefault="00D46DFE" w:rsidP="00D46DFE">
      <w:pPr>
        <w:autoSpaceDE w:val="0"/>
        <w:autoSpaceDN w:val="0"/>
        <w:adjustRightInd w:val="0"/>
        <w:rPr>
          <w:rFonts w:ascii="SegoeUI-Bold" w:eastAsiaTheme="minorHAnsi" w:hAnsi="SegoeUI-Bold" w:cs="SegoeUI-Bold"/>
          <w:b/>
          <w:bCs/>
          <w:color w:val="212529"/>
          <w:sz w:val="16"/>
          <w:szCs w:val="16"/>
          <w14:ligatures w14:val="standardContextual"/>
        </w:rPr>
      </w:pPr>
      <w:r w:rsidRPr="005F2DA1">
        <w:rPr>
          <w:rFonts w:ascii="SegoeUI-Bold" w:eastAsiaTheme="minorHAnsi" w:hAnsi="SegoeUI-Bold" w:cs="SegoeUI-Bold"/>
          <w:b/>
          <w:bCs/>
          <w:color w:val="212529"/>
          <w:sz w:val="16"/>
          <w:szCs w:val="16"/>
          <w14:ligatures w14:val="standardContextual"/>
        </w:rPr>
        <w:t>Credits Designation:</w:t>
      </w:r>
      <w:r w:rsidR="00862691" w:rsidRPr="005F2DA1">
        <w:rPr>
          <w:rFonts w:ascii="SegoeUI-Bold" w:eastAsiaTheme="minorHAnsi" w:hAnsi="SegoeUI-Bold" w:cs="SegoeUI-Bold"/>
          <w:b/>
          <w:bCs/>
          <w:color w:val="212529"/>
          <w:sz w:val="16"/>
          <w:szCs w:val="16"/>
          <w14:ligatures w14:val="standardContextual"/>
        </w:rPr>
        <w:t xml:space="preserve"> </w:t>
      </w:r>
    </w:p>
    <w:p w14:paraId="44430492" w14:textId="30CE51EB" w:rsidR="005F2DA1" w:rsidRPr="005F2DA1" w:rsidRDefault="005F2DA1" w:rsidP="00D46DFE">
      <w:p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</w:pP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Friday, May 16, 2025</w:t>
      </w:r>
    </w:p>
    <w:p w14:paraId="0D35FFB9" w14:textId="78EDA291" w:rsidR="005F2DA1" w:rsidRPr="005F2DA1" w:rsidRDefault="005F2DA1" w:rsidP="00D46DFE">
      <w:pPr>
        <w:autoSpaceDE w:val="0"/>
        <w:autoSpaceDN w:val="0"/>
        <w:adjustRightInd w:val="0"/>
        <w:rPr>
          <w:rFonts w:ascii="SegoeUI-Bold" w:eastAsiaTheme="minorHAnsi" w:hAnsi="SegoeUI-Bold" w:cs="SegoeUI-Bold"/>
          <w:b/>
          <w:bCs/>
          <w:color w:val="212529"/>
          <w:sz w:val="16"/>
          <w:szCs w:val="16"/>
          <w14:ligatures w14:val="standardContextual"/>
        </w:rPr>
      </w:pPr>
      <w:r w:rsidRPr="005F2DA1">
        <w:rPr>
          <w:rFonts w:ascii="SegoeUI" w:eastAsiaTheme="minorHAnsi" w:hAnsi="SegoeUI" w:cs="SegoeUI"/>
          <w:color w:val="6C757D"/>
          <w:sz w:val="16"/>
          <w:szCs w:val="16"/>
          <w14:ligatures w14:val="standardContextual"/>
        </w:rPr>
        <w:t>8:00 AM - 2:00 PM</w:t>
      </w:r>
    </w:p>
    <w:p w14:paraId="157A98BE" w14:textId="2D20999B" w:rsidR="00D46DFE" w:rsidRPr="005F2DA1" w:rsidRDefault="00D46DFE" w:rsidP="00D46DFE">
      <w:p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</w:pP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Trauma Responsiveness- Considerations with Victims, Patients, and Providers</w:t>
      </w:r>
    </w:p>
    <w:p w14:paraId="1B426015" w14:textId="77777777" w:rsidR="00D46DFE" w:rsidRPr="005F2DA1" w:rsidRDefault="00D46DFE" w:rsidP="00815D5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</w:pP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 xml:space="preserve">Bon Secours Mercy Health Center for Continuing Education designates this live activity for a maximum of 4 </w:t>
      </w:r>
      <w:r w:rsidRPr="005F2DA1">
        <w:rPr>
          <w:rFonts w:ascii="SegoeUI-Italic" w:eastAsiaTheme="minorHAnsi" w:hAnsi="SegoeUI-Italic" w:cs="SegoeUI-Italic"/>
          <w:i/>
          <w:iCs/>
          <w:color w:val="212529"/>
          <w:sz w:val="16"/>
          <w:szCs w:val="16"/>
          <w14:ligatures w14:val="standardContextual"/>
        </w:rPr>
        <w:t>AMA PRA Category 1 Credits™</w:t>
      </w: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. Physicians should</w:t>
      </w:r>
    </w:p>
    <w:p w14:paraId="5C6CBBCD" w14:textId="77777777" w:rsidR="00D46DFE" w:rsidRPr="005F2DA1" w:rsidRDefault="00D46DFE" w:rsidP="00815D5E">
      <w:pPr>
        <w:autoSpaceDE w:val="0"/>
        <w:autoSpaceDN w:val="0"/>
        <w:adjustRightInd w:val="0"/>
        <w:ind w:firstLine="720"/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</w:pP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claim only the credit commensurate with the extent of their participation in the activity.</w:t>
      </w:r>
    </w:p>
    <w:p w14:paraId="526D8DD3" w14:textId="77777777" w:rsidR="00D46DFE" w:rsidRPr="005F2DA1" w:rsidRDefault="00D46DFE" w:rsidP="00815D5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</w:pP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Bon Secours Mercy Health Center for Continuing Education designates this live activity for a maximum of 4 Hour(s) Attendance w/ No Credit.</w:t>
      </w:r>
    </w:p>
    <w:p w14:paraId="4FE6B623" w14:textId="77777777" w:rsidR="00D46DFE" w:rsidRPr="005F2DA1" w:rsidRDefault="00D46DFE" w:rsidP="00815D5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</w:pP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Bon Secours Mercy Health Center for Continuing Education designates this live activity for a maximum of 4 Hour(s) NCPD (ANCC Contact Hours).</w:t>
      </w:r>
    </w:p>
    <w:p w14:paraId="60E6386D" w14:textId="77777777" w:rsidR="00D46DFE" w:rsidRPr="005F2DA1" w:rsidRDefault="00D46DFE" w:rsidP="00815D5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</w:pP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Bon Secours Mercy Health Center for Continuing Education designates this live activity for a maximum of 4 Credit(s) IPCE.</w:t>
      </w:r>
    </w:p>
    <w:p w14:paraId="7B0F9405" w14:textId="77777777" w:rsidR="00D46DFE" w:rsidRPr="005F2DA1" w:rsidRDefault="00D46DFE" w:rsidP="00815D5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</w:pP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As a Jointly Accredited Organization, Bon Secours Mercy Health Center for Continuing Education is approved to offer social work continuing education by the</w:t>
      </w:r>
    </w:p>
    <w:p w14:paraId="6AB4C297" w14:textId="3EB0D776" w:rsidR="00D46DFE" w:rsidRPr="005F2DA1" w:rsidRDefault="00D46DFE" w:rsidP="005F2DA1">
      <w:pPr>
        <w:autoSpaceDE w:val="0"/>
        <w:autoSpaceDN w:val="0"/>
        <w:adjustRightInd w:val="0"/>
        <w:ind w:left="720"/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</w:pP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Association of Social Work Boards (ASWB) Approved Continuing Education (ACE) program. Organizations, not individual courses, are approved under this</w:t>
      </w:r>
      <w:r w:rsid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 xml:space="preserve"> </w:t>
      </w: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program. Regulatory boards are the final authority on courses accepted for continuing education credit. Social workers completing this course receive 4</w:t>
      </w:r>
      <w:r w:rsid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 xml:space="preserve"> </w:t>
      </w: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continuing education credits.</w:t>
      </w:r>
    </w:p>
    <w:p w14:paraId="5A3BADB8" w14:textId="77777777" w:rsidR="00CE150F" w:rsidRDefault="00CE150F" w:rsidP="00D46DFE">
      <w:pPr>
        <w:autoSpaceDE w:val="0"/>
        <w:autoSpaceDN w:val="0"/>
        <w:adjustRightInd w:val="0"/>
        <w:rPr>
          <w:rFonts w:ascii="SegoeUI-Bold" w:eastAsiaTheme="minorHAnsi" w:hAnsi="SegoeUI-Bold" w:cs="SegoeUI-Bold"/>
          <w:b/>
          <w:bCs/>
          <w:color w:val="212529"/>
          <w:sz w:val="16"/>
          <w:szCs w:val="16"/>
          <w14:ligatures w14:val="standardContextual"/>
        </w:rPr>
      </w:pPr>
    </w:p>
    <w:p w14:paraId="339A1AE9" w14:textId="38CAE18D" w:rsidR="00D46DFE" w:rsidRPr="005F2DA1" w:rsidRDefault="00D46DFE" w:rsidP="00D46DFE">
      <w:pPr>
        <w:autoSpaceDE w:val="0"/>
        <w:autoSpaceDN w:val="0"/>
        <w:adjustRightInd w:val="0"/>
        <w:rPr>
          <w:rFonts w:ascii="SegoeUI-Bold" w:eastAsiaTheme="minorHAnsi" w:hAnsi="SegoeUI-Bold" w:cs="SegoeUI-Bold"/>
          <w:b/>
          <w:bCs/>
          <w:color w:val="212529"/>
          <w:sz w:val="16"/>
          <w:szCs w:val="16"/>
          <w14:ligatures w14:val="standardContextual"/>
        </w:rPr>
      </w:pPr>
      <w:r w:rsidRPr="005F2DA1">
        <w:rPr>
          <w:rFonts w:ascii="SegoeUI-Bold" w:eastAsiaTheme="minorHAnsi" w:hAnsi="SegoeUI-Bold" w:cs="SegoeUI-Bold"/>
          <w:b/>
          <w:bCs/>
          <w:color w:val="212529"/>
          <w:sz w:val="16"/>
          <w:szCs w:val="16"/>
          <w14:ligatures w14:val="standardContextual"/>
        </w:rPr>
        <w:t>Disclosures:</w:t>
      </w:r>
    </w:p>
    <w:p w14:paraId="50BB341B" w14:textId="77777777" w:rsidR="00CE150F" w:rsidRDefault="00CE150F" w:rsidP="00D46DFE">
      <w:p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:u w:val="single"/>
          <w14:ligatures w14:val="standardContextual"/>
        </w:rPr>
      </w:pPr>
    </w:p>
    <w:p w14:paraId="3A072061" w14:textId="0FABE6A0" w:rsidR="00D46DFE" w:rsidRPr="005F2DA1" w:rsidRDefault="00D46DFE" w:rsidP="00D46DFE">
      <w:p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:u w:val="single"/>
          <w14:ligatures w14:val="standardContextual"/>
        </w:rPr>
      </w:pPr>
      <w:r w:rsidRPr="005F2DA1">
        <w:rPr>
          <w:rFonts w:ascii="SegoeUI" w:eastAsiaTheme="minorHAnsi" w:hAnsi="SegoeUI" w:cs="SegoeUI"/>
          <w:color w:val="212529"/>
          <w:sz w:val="16"/>
          <w:szCs w:val="16"/>
          <w:u w:val="single"/>
          <w14:ligatures w14:val="standardContextual"/>
        </w:rPr>
        <w:t>Speakers:</w:t>
      </w:r>
    </w:p>
    <w:p w14:paraId="0625C036" w14:textId="25EBB746" w:rsidR="00D46DFE" w:rsidRPr="005F2DA1" w:rsidRDefault="00D46DFE" w:rsidP="00D46DFE">
      <w:p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</w:pP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Carmille Akande, JD, KaZonte Allen, MSW, Nicole Knepper, RN, John Leskovan, DO, OraLee Macklenar, LISW-S, LCDC III, CEAP, Rose Mock, JD, MSW LSW, and Sonya</w:t>
      </w:r>
      <w:r w:rsid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 xml:space="preserve"> </w:t>
      </w: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 xml:space="preserve">Newton, BS have no financial relationship(s) with ineligible companies whose primary business is producing, marketing, selling, re-selling, or distributing </w:t>
      </w:r>
      <w:r w:rsidR="005F2DA1"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healthcare</w:t>
      </w:r>
      <w:r w:rsid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 xml:space="preserve"> </w:t>
      </w: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products used by or on patients to disclose.</w:t>
      </w:r>
    </w:p>
    <w:p w14:paraId="3A815BCF" w14:textId="77777777" w:rsidR="00CE150F" w:rsidRDefault="00CE150F" w:rsidP="00D46DFE">
      <w:p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:u w:val="single"/>
          <w14:ligatures w14:val="standardContextual"/>
        </w:rPr>
      </w:pPr>
    </w:p>
    <w:p w14:paraId="7651339A" w14:textId="314EE3AE" w:rsidR="00815D5E" w:rsidRPr="005F2DA1" w:rsidRDefault="00D46DFE" w:rsidP="00D46DFE">
      <w:p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:u w:val="single"/>
          <w14:ligatures w14:val="standardContextual"/>
        </w:rPr>
      </w:pPr>
      <w:r w:rsidRPr="005F2DA1">
        <w:rPr>
          <w:rFonts w:ascii="SegoeUI" w:eastAsiaTheme="minorHAnsi" w:hAnsi="SegoeUI" w:cs="SegoeUI"/>
          <w:color w:val="212529"/>
          <w:sz w:val="16"/>
          <w:szCs w:val="16"/>
          <w:u w:val="single"/>
          <w14:ligatures w14:val="standardContextual"/>
        </w:rPr>
        <w:t>Planners:</w:t>
      </w:r>
      <w:r w:rsidR="00862691" w:rsidRPr="005F2DA1">
        <w:rPr>
          <w:rFonts w:ascii="SegoeUI" w:eastAsiaTheme="minorHAnsi" w:hAnsi="SegoeUI" w:cs="SegoeUI"/>
          <w:color w:val="212529"/>
          <w:sz w:val="16"/>
          <w:szCs w:val="16"/>
          <w:u w:val="single"/>
          <w14:ligatures w14:val="standardContextual"/>
        </w:rPr>
        <w:t xml:space="preserve"> </w:t>
      </w:r>
    </w:p>
    <w:p w14:paraId="7C4EACDD" w14:textId="3A2306DB" w:rsidR="00D46DFE" w:rsidRPr="005F2DA1" w:rsidRDefault="00D46DFE" w:rsidP="00D46DFE">
      <w:p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</w:pP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OraLee Macklenar, LISW-S, LCDC III, CEAP, John Leskovan, DO, and Nicole Knepper, RN have no financial relationship(s) with ineligible companies whose primary</w:t>
      </w:r>
      <w:r w:rsid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 xml:space="preserve"> </w:t>
      </w: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business is producing, marketing, selling, re-selling, or distributing healthcare products used by or on patients to disclose.</w:t>
      </w:r>
    </w:p>
    <w:p w14:paraId="077F14D5" w14:textId="77777777" w:rsidR="00CE150F" w:rsidRDefault="00CE150F" w:rsidP="00815D5E">
      <w:pPr>
        <w:autoSpaceDE w:val="0"/>
        <w:autoSpaceDN w:val="0"/>
        <w:adjustRightInd w:val="0"/>
        <w:rPr>
          <w:rFonts w:ascii="SegoeUI-Bold" w:eastAsiaTheme="minorHAnsi" w:hAnsi="SegoeUI-Bold" w:cs="SegoeUI-Bold"/>
          <w:b/>
          <w:bCs/>
          <w:color w:val="212529"/>
          <w:sz w:val="16"/>
          <w:szCs w:val="16"/>
          <w14:ligatures w14:val="standardContextual"/>
        </w:rPr>
      </w:pPr>
    </w:p>
    <w:p w14:paraId="074EC165" w14:textId="4144CD26" w:rsidR="00815D5E" w:rsidRPr="005F2DA1" w:rsidRDefault="00815D5E" w:rsidP="00815D5E">
      <w:pPr>
        <w:autoSpaceDE w:val="0"/>
        <w:autoSpaceDN w:val="0"/>
        <w:adjustRightInd w:val="0"/>
        <w:rPr>
          <w:rFonts w:ascii="SegoeUI-Bold" w:eastAsiaTheme="minorHAnsi" w:hAnsi="SegoeUI-Bold" w:cs="SegoeUI-Bold"/>
          <w:b/>
          <w:bCs/>
          <w:color w:val="212529"/>
          <w:sz w:val="16"/>
          <w:szCs w:val="16"/>
          <w14:ligatures w14:val="standardContextual"/>
        </w:rPr>
      </w:pPr>
      <w:r w:rsidRPr="005F2DA1">
        <w:rPr>
          <w:rFonts w:ascii="SegoeUI-Bold" w:eastAsiaTheme="minorHAnsi" w:hAnsi="SegoeUI-Bold" w:cs="SegoeUI-Bold"/>
          <w:b/>
          <w:bCs/>
          <w:color w:val="212529"/>
          <w:sz w:val="16"/>
          <w:szCs w:val="16"/>
          <w14:ligatures w14:val="standardContextual"/>
        </w:rPr>
        <w:t>Commercial Support:</w:t>
      </w:r>
    </w:p>
    <w:p w14:paraId="349414E6" w14:textId="735DF257" w:rsidR="00815D5E" w:rsidRDefault="00815D5E" w:rsidP="00815D5E">
      <w:pPr>
        <w:autoSpaceDE w:val="0"/>
        <w:autoSpaceDN w:val="0"/>
        <w:adjustRightInd w:val="0"/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</w:pPr>
      <w:r w:rsidRPr="005F2DA1">
        <w:rPr>
          <w:rFonts w:ascii="SegoeUI" w:eastAsiaTheme="minorHAnsi" w:hAnsi="SegoeUI" w:cs="SegoeUI"/>
          <w:color w:val="212529"/>
          <w:sz w:val="16"/>
          <w:szCs w:val="16"/>
          <w14:ligatures w14:val="standardContextual"/>
        </w:rPr>
        <w:t>This activity is not commercially supported.</w:t>
      </w:r>
    </w:p>
    <w:p w14:paraId="7A5EBCC8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2365C211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60E336E4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157A393B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44768039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5ACB51BB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5F22675D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639A980E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6A1A4A1D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7130D1CE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514A0063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07BB2794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79A8466B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3D9F7295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56807C96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7ECEDA51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1A7802F6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39449AFE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0C79861E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7C46A739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79D2E25B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5E691964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783D9C24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7047E2CB" w14:textId="77777777" w:rsidR="0055678A" w:rsidRPr="0055678A" w:rsidRDefault="0055678A" w:rsidP="0055678A">
      <w:pPr>
        <w:rPr>
          <w:rFonts w:ascii="SegoeUI" w:eastAsiaTheme="minorHAnsi" w:hAnsi="SegoeUI" w:cs="SegoeUI"/>
          <w:sz w:val="16"/>
          <w:szCs w:val="16"/>
        </w:rPr>
      </w:pPr>
    </w:p>
    <w:p w14:paraId="416BEC52" w14:textId="3EA927F2" w:rsidR="0055678A" w:rsidRPr="0055678A" w:rsidRDefault="0055678A" w:rsidP="0055678A">
      <w:pPr>
        <w:tabs>
          <w:tab w:val="left" w:pos="9696"/>
        </w:tabs>
        <w:rPr>
          <w:rFonts w:ascii="SegoeUI" w:eastAsiaTheme="minorHAnsi" w:hAnsi="SegoeUI" w:cs="SegoeUI"/>
          <w:sz w:val="16"/>
          <w:szCs w:val="16"/>
        </w:rPr>
      </w:pPr>
      <w:r>
        <w:rPr>
          <w:rFonts w:ascii="SegoeUI" w:eastAsiaTheme="minorHAnsi" w:hAnsi="SegoeUI" w:cs="SegoeUI"/>
          <w:sz w:val="16"/>
          <w:szCs w:val="16"/>
        </w:rPr>
        <w:tab/>
      </w:r>
    </w:p>
    <w:sectPr w:rsidR="0055678A" w:rsidRPr="0055678A" w:rsidSect="00D7039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40C77" w14:textId="77777777" w:rsidR="00D7039B" w:rsidRDefault="00D7039B" w:rsidP="00D7039B">
      <w:r>
        <w:separator/>
      </w:r>
    </w:p>
  </w:endnote>
  <w:endnote w:type="continuationSeparator" w:id="0">
    <w:p w14:paraId="5E661CF1" w14:textId="77777777" w:rsidR="00D7039B" w:rsidRDefault="00D7039B" w:rsidP="00D7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-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-Italic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18E7" w14:textId="15BB0950" w:rsidR="0055678A" w:rsidRDefault="0055678A">
    <w:pPr>
      <w:pStyle w:val="Footer"/>
    </w:pPr>
    <w:r w:rsidRPr="0055678A">
      <w:rPr>
        <w:rFonts w:ascii="Calibri" w:eastAsia="Times New Roman" w:hAnsi="Calibri" w:cs="Arial"/>
        <w:noProof/>
      </w:rPr>
      <w:drawing>
        <wp:anchor distT="0" distB="0" distL="114300" distR="114300" simplePos="0" relativeHeight="251659264" behindDoc="1" locked="1" layoutInCell="1" allowOverlap="1" wp14:anchorId="4360F23E" wp14:editId="287C2BCD">
          <wp:simplePos x="0" y="0"/>
          <wp:positionH relativeFrom="column">
            <wp:posOffset>4937760</wp:posOffset>
          </wp:positionH>
          <wp:positionV relativeFrom="page">
            <wp:posOffset>9483725</wp:posOffset>
          </wp:positionV>
          <wp:extent cx="2294255" cy="690880"/>
          <wp:effectExtent l="0" t="0" r="4445" b="0"/>
          <wp:wrapNone/>
          <wp:docPr id="2065777851" name="Picture 2065777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65" t="93131"/>
                  <a:stretch/>
                </pic:blipFill>
                <pic:spPr bwMode="auto">
                  <a:xfrm>
                    <a:off x="0" y="0"/>
                    <a:ext cx="2294255" cy="690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BD86" w14:textId="77777777" w:rsidR="00D7039B" w:rsidRDefault="00D7039B" w:rsidP="00D7039B">
      <w:r>
        <w:separator/>
      </w:r>
    </w:p>
  </w:footnote>
  <w:footnote w:type="continuationSeparator" w:id="0">
    <w:p w14:paraId="3608E3B5" w14:textId="77777777" w:rsidR="00D7039B" w:rsidRDefault="00D7039B" w:rsidP="00D70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5258" w14:textId="012705BD" w:rsidR="00D7039B" w:rsidRPr="001001D8" w:rsidRDefault="00D7039B" w:rsidP="00D7039B">
    <w:pPr>
      <w:pStyle w:val="Header"/>
      <w:rPr>
        <w:rFonts w:ascii="Segoe UI" w:hAnsi="Segoe UI" w:cs="Segoe UI"/>
        <w:sz w:val="28"/>
        <w:szCs w:val="28"/>
      </w:rPr>
    </w:pPr>
    <w:r w:rsidRPr="001001D8">
      <w:rPr>
        <w:rFonts w:ascii="Segoe UI" w:hAnsi="Segoe UI" w:cs="Segoe UI"/>
        <w:sz w:val="28"/>
        <w:szCs w:val="28"/>
      </w:rPr>
      <w:t>Trauma Responsiveness- Considerations with Victims, Patients, and Providers</w:t>
    </w:r>
  </w:p>
  <w:p w14:paraId="5D49D3E3" w14:textId="77777777" w:rsidR="00D7039B" w:rsidRDefault="00D70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6FB"/>
    <w:multiLevelType w:val="hybridMultilevel"/>
    <w:tmpl w:val="75A01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1511"/>
    <w:multiLevelType w:val="hybridMultilevel"/>
    <w:tmpl w:val="AAE0F5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0F81"/>
    <w:multiLevelType w:val="hybridMultilevel"/>
    <w:tmpl w:val="A596F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237C1"/>
    <w:multiLevelType w:val="hybridMultilevel"/>
    <w:tmpl w:val="4ACA99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80C8A"/>
    <w:multiLevelType w:val="hybridMultilevel"/>
    <w:tmpl w:val="3E06E9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0BBF"/>
    <w:multiLevelType w:val="hybridMultilevel"/>
    <w:tmpl w:val="0A082A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3057F"/>
    <w:multiLevelType w:val="hybridMultilevel"/>
    <w:tmpl w:val="E3BE85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7E8"/>
    <w:multiLevelType w:val="hybridMultilevel"/>
    <w:tmpl w:val="9B86DC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2809">
    <w:abstractNumId w:val="7"/>
  </w:num>
  <w:num w:numId="2" w16cid:durableId="1704285736">
    <w:abstractNumId w:val="4"/>
  </w:num>
  <w:num w:numId="3" w16cid:durableId="590355365">
    <w:abstractNumId w:val="3"/>
  </w:num>
  <w:num w:numId="4" w16cid:durableId="1750692041">
    <w:abstractNumId w:val="5"/>
  </w:num>
  <w:num w:numId="5" w16cid:durableId="1061103334">
    <w:abstractNumId w:val="2"/>
  </w:num>
  <w:num w:numId="6" w16cid:durableId="1991133194">
    <w:abstractNumId w:val="6"/>
  </w:num>
  <w:num w:numId="7" w16cid:durableId="1197083000">
    <w:abstractNumId w:val="1"/>
  </w:num>
  <w:num w:numId="8" w16cid:durableId="177617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66"/>
    <w:rsid w:val="000C5E73"/>
    <w:rsid w:val="001001D8"/>
    <w:rsid w:val="00256087"/>
    <w:rsid w:val="003377DC"/>
    <w:rsid w:val="003F7754"/>
    <w:rsid w:val="0055678A"/>
    <w:rsid w:val="005A191A"/>
    <w:rsid w:val="005E515E"/>
    <w:rsid w:val="005E5DCA"/>
    <w:rsid w:val="005F2DA1"/>
    <w:rsid w:val="0073311F"/>
    <w:rsid w:val="007E55B1"/>
    <w:rsid w:val="00815D5E"/>
    <w:rsid w:val="00854163"/>
    <w:rsid w:val="00862691"/>
    <w:rsid w:val="00AB585E"/>
    <w:rsid w:val="00AE70C2"/>
    <w:rsid w:val="00B25F58"/>
    <w:rsid w:val="00CA22BC"/>
    <w:rsid w:val="00CE150F"/>
    <w:rsid w:val="00CF3974"/>
    <w:rsid w:val="00D25EAE"/>
    <w:rsid w:val="00D46DFE"/>
    <w:rsid w:val="00D7039B"/>
    <w:rsid w:val="00DF0F75"/>
    <w:rsid w:val="00EB4766"/>
    <w:rsid w:val="00F6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624720"/>
  <w15:chartTrackingRefBased/>
  <w15:docId w15:val="{BEDEFAA0-820E-454C-B4BE-5EEE02F0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66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4766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0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39B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0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39B"/>
    <w:rPr>
      <w:rFonts w:eastAsiaTheme="minorEastAsia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25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E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5EA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5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ds.com/portal_recurring_event.aspx?ConferenceID=4821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Macklenar, OraLee</dc:creator>
  <cp:keywords/>
  <dc:description/>
  <cp:lastModifiedBy>Macklenar, OraLee</cp:lastModifiedBy>
  <cp:revision>6</cp:revision>
  <dcterms:created xsi:type="dcterms:W3CDTF">2025-04-17T01:54:00Z</dcterms:created>
  <dcterms:modified xsi:type="dcterms:W3CDTF">2025-04-17T02:18:00Z</dcterms:modified>
</cp:coreProperties>
</file>