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2BA64" w14:textId="77777777" w:rsidR="000C1590" w:rsidRPr="000C1590" w:rsidRDefault="000C1590" w:rsidP="000C1590">
      <w:pPr>
        <w:rPr>
          <w:b/>
          <w:bCs/>
        </w:rPr>
      </w:pPr>
      <w:r w:rsidRPr="000C1590">
        <w:rPr>
          <w:b/>
          <w:bCs/>
        </w:rPr>
        <w:t>Bibliography</w:t>
      </w:r>
    </w:p>
    <w:p w14:paraId="18957462" w14:textId="77777777" w:rsidR="000C1590" w:rsidRPr="000C1590" w:rsidRDefault="000C1590" w:rsidP="000C1590">
      <w:r w:rsidRPr="000C1590">
        <w:rPr>
          <w:b/>
          <w:bCs/>
        </w:rPr>
        <w:t>IgG4</w:t>
      </w:r>
      <w:r w:rsidRPr="000C1590">
        <w:rPr>
          <w:b/>
          <w:bCs/>
        </w:rPr>
        <w:noBreakHyphen/>
        <w:t>Related Disease: The Great Mimicker</w:t>
      </w:r>
    </w:p>
    <w:p w14:paraId="389E9637" w14:textId="77777777" w:rsidR="000C1590" w:rsidRPr="000C1590" w:rsidRDefault="000C1590" w:rsidP="000C1590">
      <w:pPr>
        <w:rPr>
          <w:b/>
          <w:bCs/>
        </w:rPr>
      </w:pPr>
      <w:r w:rsidRPr="000C1590">
        <w:rPr>
          <w:b/>
          <w:bCs/>
        </w:rPr>
        <w:t>Foundational Reviews &amp; Disease Definition</w:t>
      </w:r>
    </w:p>
    <w:p w14:paraId="36F581D1" w14:textId="77777777" w:rsidR="000C1590" w:rsidRPr="000C1590" w:rsidRDefault="000C1590" w:rsidP="000C1590">
      <w:pPr>
        <w:numPr>
          <w:ilvl w:val="0"/>
          <w:numId w:val="1"/>
        </w:numPr>
      </w:pPr>
      <w:r w:rsidRPr="000C1590">
        <w:t>Stone, J. H., Zen, Y., &amp; Deshpande, V. (2012).</w:t>
      </w:r>
      <w:r w:rsidRPr="000C1590">
        <w:br/>
      </w:r>
      <w:r w:rsidRPr="000C1590">
        <w:rPr>
          <w:b/>
          <w:bCs/>
        </w:rPr>
        <w:t>IgG4</w:t>
      </w:r>
      <w:r w:rsidRPr="000C1590">
        <w:rPr>
          <w:b/>
          <w:bCs/>
        </w:rPr>
        <w:noBreakHyphen/>
        <w:t>related disease.</w:t>
      </w:r>
      <w:r w:rsidRPr="000C1590">
        <w:t xml:space="preserve"> </w:t>
      </w:r>
      <w:r w:rsidRPr="000C1590">
        <w:rPr>
          <w:i/>
          <w:iCs/>
        </w:rPr>
        <w:t>New England Journal of Medicine, 366</w:t>
      </w:r>
      <w:r w:rsidRPr="000C1590">
        <w:t>(6), 539–551.</w:t>
      </w:r>
      <w:r w:rsidRPr="000C1590">
        <w:br/>
        <w:t>https://doi.org/10.1056/NEJMra1104650</w:t>
      </w:r>
    </w:p>
    <w:p w14:paraId="0381ED7F" w14:textId="77777777" w:rsidR="000C1590" w:rsidRPr="000C1590" w:rsidRDefault="000C1590" w:rsidP="000C1590">
      <w:pPr>
        <w:numPr>
          <w:ilvl w:val="0"/>
          <w:numId w:val="1"/>
        </w:numPr>
      </w:pPr>
      <w:r w:rsidRPr="000C1590">
        <w:t>Perugino, C. A., &amp; Stone, J. H. (2020).</w:t>
      </w:r>
      <w:r w:rsidRPr="000C1590">
        <w:br/>
      </w:r>
      <w:r w:rsidRPr="000C1590">
        <w:rPr>
          <w:b/>
          <w:bCs/>
        </w:rPr>
        <w:t>IgG4</w:t>
      </w:r>
      <w:r w:rsidRPr="000C1590">
        <w:rPr>
          <w:b/>
          <w:bCs/>
        </w:rPr>
        <w:noBreakHyphen/>
        <w:t>related disease: An update on pathophysiology and implications for clinical care.</w:t>
      </w:r>
      <w:r w:rsidRPr="000C1590">
        <w:br/>
      </w:r>
      <w:r w:rsidRPr="000C1590">
        <w:rPr>
          <w:i/>
          <w:iCs/>
        </w:rPr>
        <w:t>Nature Reviews Rheumatology, 16</w:t>
      </w:r>
      <w:r w:rsidRPr="000C1590">
        <w:t>(12), 702–714.</w:t>
      </w:r>
      <w:r w:rsidRPr="000C1590">
        <w:br/>
        <w:t>https://doi.org/10.1038/s41584-020-0500-7</w:t>
      </w:r>
    </w:p>
    <w:p w14:paraId="2A80C7F4" w14:textId="77777777" w:rsidR="000C1590" w:rsidRPr="000C1590" w:rsidRDefault="000C1590" w:rsidP="000C1590">
      <w:r w:rsidRPr="000C1590">
        <w:pict w14:anchorId="15EB2B41">
          <v:rect id="_x0000_i1025" style="width:0;height:1.5pt" o:hralign="center" o:hrstd="t" o:hr="t" fillcolor="#a0a0a0" stroked="f"/>
        </w:pict>
      </w:r>
    </w:p>
    <w:p w14:paraId="29839291" w14:textId="77777777" w:rsidR="000C1590" w:rsidRPr="000C1590" w:rsidRDefault="000C1590" w:rsidP="000C1590">
      <w:pPr>
        <w:rPr>
          <w:b/>
          <w:bCs/>
        </w:rPr>
      </w:pPr>
      <w:r w:rsidRPr="000C1590">
        <w:rPr>
          <w:b/>
          <w:bCs/>
        </w:rPr>
        <w:t>Classification &amp; Diagnostic Criteria</w:t>
      </w:r>
    </w:p>
    <w:p w14:paraId="379A7D9F" w14:textId="77777777" w:rsidR="000C1590" w:rsidRPr="000C1590" w:rsidRDefault="000C1590" w:rsidP="000C1590">
      <w:pPr>
        <w:numPr>
          <w:ilvl w:val="0"/>
          <w:numId w:val="2"/>
        </w:numPr>
      </w:pPr>
      <w:r w:rsidRPr="000C1590">
        <w:t>Wallace, Z. S., Naden, R. P., Chari, S., et al. (2020).</w:t>
      </w:r>
      <w:r w:rsidRPr="000C1590">
        <w:br/>
      </w:r>
      <w:r w:rsidRPr="000C1590">
        <w:rPr>
          <w:b/>
          <w:bCs/>
        </w:rPr>
        <w:t>The 2019 ACR/EULAR classification criteria for IgG4</w:t>
      </w:r>
      <w:r w:rsidRPr="000C1590">
        <w:rPr>
          <w:b/>
          <w:bCs/>
        </w:rPr>
        <w:noBreakHyphen/>
        <w:t>related disease.</w:t>
      </w:r>
      <w:r w:rsidRPr="000C1590">
        <w:br/>
      </w:r>
      <w:r w:rsidRPr="000C1590">
        <w:rPr>
          <w:i/>
          <w:iCs/>
        </w:rPr>
        <w:t>Arthritis &amp; Rheumatology, 72</w:t>
      </w:r>
      <w:r w:rsidRPr="000C1590">
        <w:t>(1), 7–19.</w:t>
      </w:r>
      <w:r w:rsidRPr="000C1590">
        <w:br/>
        <w:t>https://doi.org/10.1002/art.41120</w:t>
      </w:r>
    </w:p>
    <w:p w14:paraId="3CD21866" w14:textId="77777777" w:rsidR="000C1590" w:rsidRPr="000C1590" w:rsidRDefault="000C1590" w:rsidP="000C1590">
      <w:pPr>
        <w:numPr>
          <w:ilvl w:val="0"/>
          <w:numId w:val="2"/>
        </w:numPr>
      </w:pPr>
      <w:proofErr w:type="spellStart"/>
      <w:r w:rsidRPr="000C1590">
        <w:t>Khosroshahi</w:t>
      </w:r>
      <w:proofErr w:type="spellEnd"/>
      <w:r w:rsidRPr="000C1590">
        <w:t>, A., Wallace, Z. S., Crowe, J. L., et al. (2015).</w:t>
      </w:r>
      <w:r w:rsidRPr="000C1590">
        <w:br/>
      </w:r>
      <w:r w:rsidRPr="000C1590">
        <w:rPr>
          <w:b/>
          <w:bCs/>
        </w:rPr>
        <w:t>International consensus guidance statement on the management and treatment of IgG4</w:t>
      </w:r>
      <w:r w:rsidRPr="000C1590">
        <w:rPr>
          <w:b/>
          <w:bCs/>
        </w:rPr>
        <w:noBreakHyphen/>
        <w:t>related disease.</w:t>
      </w:r>
      <w:r w:rsidRPr="000C1590">
        <w:br/>
      </w:r>
      <w:r w:rsidRPr="000C1590">
        <w:rPr>
          <w:i/>
          <w:iCs/>
        </w:rPr>
        <w:t>Arthritis &amp; Rheumatology, 67</w:t>
      </w:r>
      <w:r w:rsidRPr="000C1590">
        <w:t>(7), 1688–1699.</w:t>
      </w:r>
      <w:r w:rsidRPr="000C1590">
        <w:br/>
        <w:t>https://doi.org/10.1002/art.39132</w:t>
      </w:r>
    </w:p>
    <w:p w14:paraId="62FEE083" w14:textId="77777777" w:rsidR="000C1590" w:rsidRPr="000C1590" w:rsidRDefault="000C1590" w:rsidP="000C1590">
      <w:r w:rsidRPr="000C1590">
        <w:pict w14:anchorId="79E70A64">
          <v:rect id="_x0000_i1026" style="width:0;height:1.5pt" o:hralign="center" o:hrstd="t" o:hr="t" fillcolor="#a0a0a0" stroked="f"/>
        </w:pict>
      </w:r>
    </w:p>
    <w:p w14:paraId="66F7EB29" w14:textId="77777777" w:rsidR="000C1590" w:rsidRPr="000C1590" w:rsidRDefault="000C1590" w:rsidP="000C1590">
      <w:pPr>
        <w:rPr>
          <w:b/>
          <w:bCs/>
        </w:rPr>
      </w:pPr>
      <w:r w:rsidRPr="000C1590">
        <w:rPr>
          <w:b/>
          <w:bCs/>
        </w:rPr>
        <w:t>Clinical Features &amp; Organ Manifestations</w:t>
      </w:r>
    </w:p>
    <w:p w14:paraId="50058179" w14:textId="77777777" w:rsidR="000C1590" w:rsidRPr="000C1590" w:rsidRDefault="000C1590" w:rsidP="000C1590">
      <w:pPr>
        <w:numPr>
          <w:ilvl w:val="0"/>
          <w:numId w:val="3"/>
        </w:numPr>
      </w:pPr>
      <w:r w:rsidRPr="000C1590">
        <w:t>Pinheiro, F. A. G., et al. (2024).</w:t>
      </w:r>
      <w:r w:rsidRPr="000C1590">
        <w:br/>
      </w:r>
      <w:r w:rsidRPr="000C1590">
        <w:rPr>
          <w:b/>
          <w:bCs/>
        </w:rPr>
        <w:t>IgG4</w:t>
      </w:r>
      <w:r w:rsidRPr="000C1590">
        <w:rPr>
          <w:b/>
          <w:bCs/>
        </w:rPr>
        <w:noBreakHyphen/>
        <w:t>related disease: Rare but you should not forget it.</w:t>
      </w:r>
      <w:r w:rsidRPr="000C1590">
        <w:br/>
      </w:r>
      <w:r w:rsidRPr="000C1590">
        <w:rPr>
          <w:i/>
          <w:iCs/>
        </w:rPr>
        <w:t>Advances in Rheumatology, 64</w:t>
      </w:r>
      <w:r w:rsidRPr="000C1590">
        <w:t>(1), 35.</w:t>
      </w:r>
      <w:r w:rsidRPr="000C1590">
        <w:br/>
        <w:t>https://doi.org/10.1186/s42358-024-00344-8</w:t>
      </w:r>
    </w:p>
    <w:p w14:paraId="7E44E947" w14:textId="77777777" w:rsidR="000C1590" w:rsidRPr="000C1590" w:rsidRDefault="000C1590" w:rsidP="000C1590">
      <w:pPr>
        <w:numPr>
          <w:ilvl w:val="0"/>
          <w:numId w:val="3"/>
        </w:numPr>
      </w:pPr>
      <w:r w:rsidRPr="000C1590">
        <w:t>Nambiar, S., &amp; Oliver, T. I. (2025).</w:t>
      </w:r>
      <w:r w:rsidRPr="000C1590">
        <w:br/>
      </w:r>
      <w:r w:rsidRPr="000C1590">
        <w:rPr>
          <w:b/>
          <w:bCs/>
        </w:rPr>
        <w:t>IgG4</w:t>
      </w:r>
      <w:r w:rsidRPr="000C1590">
        <w:rPr>
          <w:b/>
          <w:bCs/>
        </w:rPr>
        <w:noBreakHyphen/>
        <w:t>related disease.</w:t>
      </w:r>
      <w:r w:rsidRPr="000C1590">
        <w:t xml:space="preserve"> In </w:t>
      </w:r>
      <w:proofErr w:type="spellStart"/>
      <w:r w:rsidRPr="000C1590">
        <w:rPr>
          <w:i/>
          <w:iCs/>
        </w:rPr>
        <w:t>StatPearls</w:t>
      </w:r>
      <w:proofErr w:type="spellEnd"/>
      <w:r w:rsidRPr="000C1590">
        <w:t xml:space="preserve"> [Internet].</w:t>
      </w:r>
      <w:r w:rsidRPr="000C1590">
        <w:br/>
      </w:r>
      <w:proofErr w:type="spellStart"/>
      <w:r w:rsidRPr="000C1590">
        <w:t>StatPearls</w:t>
      </w:r>
      <w:proofErr w:type="spellEnd"/>
      <w:r w:rsidRPr="000C1590">
        <w:t xml:space="preserve"> Publishing.</w:t>
      </w:r>
      <w:r w:rsidRPr="000C1590">
        <w:br/>
        <w:t>https://www.ncbi.nlm.nih.gov/books/NBK499825/</w:t>
      </w:r>
    </w:p>
    <w:p w14:paraId="34B63F55" w14:textId="77777777" w:rsidR="000C1590" w:rsidRPr="000C1590" w:rsidRDefault="000C1590" w:rsidP="000C1590">
      <w:r w:rsidRPr="000C1590">
        <w:lastRenderedPageBreak/>
        <w:pict w14:anchorId="2F869DDB">
          <v:rect id="_x0000_i1027" style="width:0;height:1.5pt" o:hralign="center" o:hrstd="t" o:hr="t" fillcolor="#a0a0a0" stroked="f"/>
        </w:pict>
      </w:r>
    </w:p>
    <w:p w14:paraId="4EA86124" w14:textId="77777777" w:rsidR="000C1590" w:rsidRPr="000C1590" w:rsidRDefault="000C1590" w:rsidP="000C1590">
      <w:pPr>
        <w:rPr>
          <w:b/>
          <w:bCs/>
        </w:rPr>
      </w:pPr>
      <w:r w:rsidRPr="000C1590">
        <w:rPr>
          <w:b/>
          <w:bCs/>
        </w:rPr>
        <w:t>Treatment &amp; Therapeutic Advances</w:t>
      </w:r>
    </w:p>
    <w:p w14:paraId="2CA383F0" w14:textId="77777777" w:rsidR="000C1590" w:rsidRPr="000C1590" w:rsidRDefault="000C1590" w:rsidP="000C1590">
      <w:pPr>
        <w:numPr>
          <w:ilvl w:val="0"/>
          <w:numId w:val="4"/>
        </w:numPr>
      </w:pPr>
      <w:r w:rsidRPr="000C1590">
        <w:t>Majumder, S., et al. (2025).</w:t>
      </w:r>
      <w:r w:rsidRPr="000C1590">
        <w:br/>
      </w:r>
      <w:proofErr w:type="spellStart"/>
      <w:r w:rsidRPr="000C1590">
        <w:rPr>
          <w:b/>
          <w:bCs/>
        </w:rPr>
        <w:t>Inebilizumab</w:t>
      </w:r>
      <w:proofErr w:type="spellEnd"/>
      <w:r w:rsidRPr="000C1590">
        <w:rPr>
          <w:b/>
          <w:bCs/>
        </w:rPr>
        <w:t xml:space="preserve"> for IgG4</w:t>
      </w:r>
      <w:r w:rsidRPr="000C1590">
        <w:rPr>
          <w:b/>
          <w:bCs/>
        </w:rPr>
        <w:noBreakHyphen/>
        <w:t>related disease (MITIGATE Trial).</w:t>
      </w:r>
      <w:r w:rsidRPr="000C1590">
        <w:br/>
      </w:r>
      <w:r w:rsidRPr="000C1590">
        <w:rPr>
          <w:i/>
          <w:iCs/>
        </w:rPr>
        <w:t>New England Journal of Medicine.</w:t>
      </w:r>
      <w:r w:rsidRPr="000C1590">
        <w:t xml:space="preserve"> </w:t>
      </w:r>
      <w:r w:rsidRPr="000C1590">
        <w:rPr>
          <w:i/>
          <w:iCs/>
        </w:rPr>
        <w:t>(In press)</w:t>
      </w:r>
    </w:p>
    <w:p w14:paraId="18094A35" w14:textId="77777777" w:rsidR="000C1590" w:rsidRPr="000C1590" w:rsidRDefault="000C1590" w:rsidP="000C1590">
      <w:pPr>
        <w:numPr>
          <w:ilvl w:val="0"/>
          <w:numId w:val="4"/>
        </w:numPr>
      </w:pPr>
      <w:r w:rsidRPr="000C1590">
        <w:t>Stone, J. H., et al. (2023).</w:t>
      </w:r>
      <w:r w:rsidRPr="000C1590">
        <w:br/>
      </w:r>
      <w:r w:rsidRPr="000C1590">
        <w:rPr>
          <w:b/>
          <w:bCs/>
        </w:rPr>
        <w:t>Rituximab in IgG4</w:t>
      </w:r>
      <w:r w:rsidRPr="000C1590">
        <w:rPr>
          <w:b/>
          <w:bCs/>
        </w:rPr>
        <w:noBreakHyphen/>
        <w:t>related disease: Mechanisms and outcomes.</w:t>
      </w:r>
      <w:r w:rsidRPr="000C1590">
        <w:br/>
      </w:r>
      <w:r w:rsidRPr="000C1590">
        <w:rPr>
          <w:i/>
          <w:iCs/>
        </w:rPr>
        <w:t>Rheumatic Disease Clinics of North America, 49</w:t>
      </w:r>
      <w:r w:rsidRPr="000C1590">
        <w:t>(1), 101–118.</w:t>
      </w:r>
      <w:r w:rsidRPr="000C1590">
        <w:br/>
        <w:t>https://doi.org/10.1016/j.rdc.2022.08.006</w:t>
      </w:r>
    </w:p>
    <w:p w14:paraId="4A8D6C71" w14:textId="77777777" w:rsidR="005924D5" w:rsidRDefault="005924D5"/>
    <w:sectPr w:rsidR="00592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742C4"/>
    <w:multiLevelType w:val="multilevel"/>
    <w:tmpl w:val="3DC40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176510"/>
    <w:multiLevelType w:val="multilevel"/>
    <w:tmpl w:val="D47AC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702475"/>
    <w:multiLevelType w:val="multilevel"/>
    <w:tmpl w:val="C2B29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C720F4"/>
    <w:multiLevelType w:val="multilevel"/>
    <w:tmpl w:val="ED48A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6280507">
    <w:abstractNumId w:val="3"/>
  </w:num>
  <w:num w:numId="2" w16cid:durableId="1783762738">
    <w:abstractNumId w:val="2"/>
  </w:num>
  <w:num w:numId="3" w16cid:durableId="1709257831">
    <w:abstractNumId w:val="0"/>
  </w:num>
  <w:num w:numId="4" w16cid:durableId="1878735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590"/>
    <w:rsid w:val="000C1590"/>
    <w:rsid w:val="00135A29"/>
    <w:rsid w:val="00242BAF"/>
    <w:rsid w:val="005924D5"/>
    <w:rsid w:val="0094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DB8EF"/>
  <w15:chartTrackingRefBased/>
  <w15:docId w15:val="{E79A3BCB-15AF-4963-B107-6174B6F5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1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5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5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5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5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5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5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5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5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5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5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5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1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5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5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15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5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5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1480</Characters>
  <Application>Microsoft Office Word</Application>
  <DocSecurity>0</DocSecurity>
  <Lines>41</Lines>
  <Paragraphs>14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Kilpatrick</dc:creator>
  <cp:keywords/>
  <dc:description/>
  <cp:lastModifiedBy>Virginia Kilpatrick</cp:lastModifiedBy>
  <cp:revision>2</cp:revision>
  <dcterms:created xsi:type="dcterms:W3CDTF">2026-04-17T14:17:00Z</dcterms:created>
  <dcterms:modified xsi:type="dcterms:W3CDTF">2026-04-17T14:18:00Z</dcterms:modified>
</cp:coreProperties>
</file>